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0F6B4F"/>
          <w:spacing w:val="0"/>
          <w:sz w:val="44"/>
        </w:rPr>
        <w:t>Table of Contents</w:t>
      </w:r>
    </w:p>
    <w:p>
      <w:pPr>
        <w:keepNext/>
        <w:keepLines/>
        <w:tabs>
          <w:tab w:pos="10284" w:val="right"/>
        </w:tabs>
        <w:spacing w:line="276" w:lineRule="auto" w:before="280" w:after="160"/>
        <w:pBdr>
          <w:bottom w:val="single" w:sz="6" w:space="3" w:color="0F6B4F"/>
        </w:pBdr>
        <w:ind w:left="0"/>
      </w:pPr>
      <w:hyperlink w:anchor="toc_1" w:history="1">
        <w:r>
          <w:rPr>
            <w:rFonts w:ascii="Roboto" w:hAnsi="Roboto" w:cs="Roboto"/>
            <w:color w:val="0F6B4F"/>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toc_1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6</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8</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toc_1_6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8</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toc_1_6_1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8</w:t>
        </w:r>
        <w:r>
          <w:rPr>
            <w:rFonts w:ascii="Roboto" w:hAnsi="Roboto" w:cs="Roboto"/>
            <w:color w:val="0F6B4F"/>
            <w:spacing w:val="0"/>
            <w:sz w:val="18"/>
            <w:szCs w:val="18"/>
          </w:rPr>
          <w:fldChar w:fldCharType="end"/>
        </w:r>
      </w:hyperlink>
    </w:p>
    <w:p>
      <w:pPr>
        <w:keepNext/>
        <w:keepLines/>
        <w:tabs>
          <w:tab w:pos="10284" w:val="right"/>
        </w:tabs>
        <w:spacing w:line="276" w:lineRule="auto" w:before="280" w:after="160"/>
        <w:pBdr>
          <w:bottom w:val="single" w:sz="6" w:space="3" w:color="0F6B4F"/>
        </w:pBdr>
        <w:ind w:left="0"/>
      </w:pPr>
      <w:hyperlink w:anchor="toc_2" w:history="1">
        <w:r>
          <w:rPr>
            <w:rFonts w:ascii="Roboto" w:hAnsi="Roboto" w:cs="Roboto"/>
            <w:color w:val="0F6B4F"/>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toc_2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9</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toc_2_1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toc_2_2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toc_2_3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toc_2_4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toc_2_4_1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11</w:t>
        </w:r>
        <w:r>
          <w:rPr>
            <w:rFonts w:ascii="Roboto" w:hAnsi="Roboto" w:cs="Roboto"/>
            <w:color w:val="0F6B4F"/>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toc_2_4_2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11</w:t>
        </w:r>
        <w:r>
          <w:rPr>
            <w:rFonts w:ascii="Roboto" w:hAnsi="Roboto" w:cs="Roboto"/>
            <w:color w:val="0F6B4F"/>
            <w:spacing w:val="0"/>
            <w:sz w:val="18"/>
            <w:szCs w:val="18"/>
          </w:rPr>
          <w:fldChar w:fldCharType="end"/>
        </w:r>
      </w:hyperlink>
    </w:p>
    <w:p>
      <w:pPr>
        <w:keepNext/>
        <w:keepLines/>
        <w:tabs>
          <w:tab w:pos="10284" w:val="right"/>
        </w:tabs>
        <w:spacing w:line="276" w:lineRule="auto" w:before="280" w:after="160"/>
        <w:pBdr>
          <w:bottom w:val="single" w:sz="6" w:space="3" w:color="0F6B4F"/>
        </w:pBdr>
        <w:ind w:left="0"/>
      </w:pPr>
      <w:hyperlink w:anchor="toc_3" w:history="1">
        <w:r>
          <w:rPr>
            <w:rFonts w:ascii="Roboto" w:hAnsi="Roboto" w:cs="Roboto"/>
            <w:color w:val="0F6B4F"/>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toc_3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12</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toc_3_1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toc_3_2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toc_3_3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toc_3_4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toc_3_5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toc_3_5_1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15</w:t>
        </w:r>
        <w:r>
          <w:rPr>
            <w:rFonts w:ascii="Roboto" w:hAnsi="Roboto" w:cs="Roboto"/>
            <w:color w:val="0F6B4F"/>
            <w:spacing w:val="0"/>
            <w:sz w:val="18"/>
            <w:szCs w:val="18"/>
          </w:rPr>
          <w:fldChar w:fldCharType="end"/>
        </w:r>
      </w:hyperlink>
    </w:p>
    <w:p>
      <w:pPr>
        <w:keepNext/>
        <w:keepLines/>
        <w:tabs>
          <w:tab w:pos="10284" w:val="right"/>
        </w:tabs>
        <w:spacing w:line="276" w:lineRule="auto" w:before="280" w:after="160"/>
        <w:pBdr>
          <w:bottom w:val="single" w:sz="6" w:space="3" w:color="0F6B4F"/>
        </w:pBdr>
        <w:ind w:left="0"/>
      </w:pPr>
      <w:hyperlink w:anchor="toc_4" w:history="1">
        <w:r>
          <w:rPr>
            <w:rFonts w:ascii="Roboto" w:hAnsi="Roboto" w:cs="Roboto"/>
            <w:color w:val="0F6B4F"/>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toc_4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16</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toc_4_1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toc_4_2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toc_4_3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18</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toc_4_4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18</w:t>
        </w:r>
        <w:r>
          <w:rPr>
            <w:rFonts w:ascii="Roboto" w:hAnsi="Roboto" w:cs="Roboto"/>
            <w:color w:val="0F6B4F"/>
            <w:spacing w:val="0"/>
            <w:sz w:val="21"/>
            <w:szCs w:val="21"/>
          </w:rPr>
          <w:fldChar w:fldCharType="end"/>
        </w:r>
      </w:hyperlink>
    </w:p>
    <w:p>
      <w:pPr>
        <w:keepNext/>
        <w:keepLines/>
        <w:tabs>
          <w:tab w:pos="10284" w:val="right"/>
        </w:tabs>
        <w:spacing w:line="276" w:lineRule="auto" w:before="280" w:after="160"/>
        <w:pBdr>
          <w:bottom w:val="single" w:sz="6" w:space="3" w:color="0F6B4F"/>
        </w:pBdr>
        <w:ind w:left="0"/>
      </w:pPr>
      <w:hyperlink w:anchor="toc_5" w:history="1">
        <w:r>
          <w:rPr>
            <w:rFonts w:ascii="Roboto" w:hAnsi="Roboto" w:cs="Roboto"/>
            <w:color w:val="0F6B4F"/>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toc_5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19</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toc_5_1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toc_5_2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toc_5_3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21</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toc_5_4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22</w:t>
        </w:r>
        <w:r>
          <w:rPr>
            <w:rFonts w:ascii="Roboto" w:hAnsi="Roboto" w:cs="Roboto"/>
            <w:color w:val="0F6B4F"/>
            <w:spacing w:val="0"/>
            <w:sz w:val="21"/>
            <w:szCs w:val="21"/>
          </w:rPr>
          <w:fldChar w:fldCharType="end"/>
        </w:r>
      </w:hyperlink>
    </w:p>
    <w:p>
      <w:pPr>
        <w:keepNext/>
        <w:keepLines/>
        <w:tabs>
          <w:tab w:pos="10284" w:val="right"/>
        </w:tabs>
        <w:spacing w:line="276" w:lineRule="auto" w:before="280" w:after="160"/>
        <w:pBdr>
          <w:bottom w:val="single" w:sz="6" w:space="3" w:color="0F6B4F"/>
        </w:pBdr>
        <w:ind w:left="0"/>
      </w:pPr>
      <w:hyperlink w:anchor="toc_6" w:history="1">
        <w:r>
          <w:rPr>
            <w:rFonts w:ascii="Roboto" w:hAnsi="Roboto" w:cs="Roboto"/>
            <w:color w:val="0F6B4F"/>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toc_6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23</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toc_6_1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toc_6_2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toc_6_3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toc_6_4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Dispute Process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toc_6_5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25</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Credit Restoration Program</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toc_6_5_1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25</w:t>
        </w:r>
        <w:r>
          <w:rPr>
            <w:rFonts w:ascii="Roboto" w:hAnsi="Roboto" w:cs="Roboto"/>
            <w:color w:val="0F6B4F"/>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90-Day Mortgage Readiness Program</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toc_6_5_2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26</w:t>
        </w:r>
        <w:r>
          <w:rPr>
            <w:rFonts w:ascii="Roboto" w:hAnsi="Roboto" w:cs="Roboto"/>
            <w:color w:val="0F6B4F"/>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toc_6_5_3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27</w:t>
        </w:r>
        <w:r>
          <w:rPr>
            <w:rFonts w:ascii="Roboto" w:hAnsi="Roboto" w:cs="Roboto"/>
            <w:color w:val="0F6B4F"/>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toc_6_5_4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27</w:t>
        </w:r>
        <w:r>
          <w:rPr>
            <w:rFonts w:ascii="Roboto" w:hAnsi="Roboto" w:cs="Roboto"/>
            <w:color w:val="0F6B4F"/>
            <w:spacing w:val="0"/>
            <w:sz w:val="18"/>
            <w:szCs w:val="18"/>
          </w:rPr>
          <w:fldChar w:fldCharType="end"/>
        </w:r>
      </w:hyperlink>
    </w:p>
    <w:p>
      <w:pPr>
        <w:keepNext/>
        <w:keepLines/>
        <w:tabs>
          <w:tab w:pos="10284" w:val="right"/>
        </w:tabs>
        <w:spacing w:line="276" w:lineRule="auto" w:before="280" w:after="160"/>
        <w:pBdr>
          <w:bottom w:val="single" w:sz="6" w:space="3" w:color="0F6B4F"/>
        </w:pBdr>
        <w:ind w:left="0"/>
      </w:pPr>
      <w:hyperlink w:anchor="toc_7" w:history="1">
        <w:r>
          <w:rPr>
            <w:rFonts w:ascii="Roboto" w:hAnsi="Roboto" w:cs="Roboto"/>
            <w:color w:val="0F6B4F"/>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toc_7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28</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29</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29</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29</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toc_7_6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toc_7_7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31</w:t>
        </w:r>
        <w:r>
          <w:rPr>
            <w:rFonts w:ascii="Roboto" w:hAnsi="Roboto" w:cs="Roboto"/>
            <w:color w:val="0F6B4F"/>
            <w:spacing w:val="0"/>
            <w:sz w:val="21"/>
            <w:szCs w:val="21"/>
          </w:rPr>
          <w:fldChar w:fldCharType="end"/>
        </w:r>
      </w:hyperlink>
    </w:p>
    <w:p>
      <w:pPr>
        <w:keepNext/>
        <w:keepLines/>
        <w:tabs>
          <w:tab w:pos="10284" w:val="right"/>
        </w:tabs>
        <w:spacing w:line="276" w:lineRule="auto" w:before="280" w:after="160"/>
        <w:pBdr>
          <w:bottom w:val="single" w:sz="6" w:space="3" w:color="0F6B4F"/>
        </w:pBdr>
        <w:ind w:left="0"/>
      </w:pPr>
      <w:hyperlink w:anchor="toc_8" w:history="1">
        <w:r>
          <w:rPr>
            <w:rFonts w:ascii="Roboto" w:hAnsi="Roboto" w:cs="Roboto"/>
            <w:color w:val="0F6B4F"/>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toc_8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32</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Compliance &amp; State Registration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toc_8_6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34</w:t>
        </w:r>
        <w:r>
          <w:rPr>
            <w:rFonts w:ascii="Roboto" w:hAnsi="Roboto" w:cs="Roboto"/>
            <w:color w:val="0F6B4F"/>
            <w:spacing w:val="0"/>
            <w:sz w:val="21"/>
            <w:szCs w:val="21"/>
          </w:rPr>
          <w:fldChar w:fldCharType="end"/>
        </w:r>
      </w:hyperlink>
    </w:p>
    <w:p>
      <w:pPr>
        <w:keepNext/>
        <w:keepLines/>
        <w:tabs>
          <w:tab w:pos="10284" w:val="right"/>
        </w:tabs>
        <w:spacing w:line="276" w:lineRule="auto" w:before="280" w:after="160"/>
        <w:pBdr>
          <w:bottom w:val="single" w:sz="6" w:space="3" w:color="0F6B4F"/>
        </w:pBdr>
        <w:ind w:left="0"/>
      </w:pPr>
      <w:hyperlink w:anchor="toc_9" w:history="1">
        <w:r>
          <w:rPr>
            <w:rFonts w:ascii="Roboto" w:hAnsi="Roboto" w:cs="Roboto"/>
            <w:color w:val="0F6B4F"/>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toc_9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36</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toc_9_1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toc_9_2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37</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toc_9_3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38</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toc_9_3_1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38</w:t>
        </w:r>
        <w:r>
          <w:rPr>
            <w:rFonts w:ascii="Roboto" w:hAnsi="Roboto" w:cs="Roboto"/>
            <w:color w:val="0F6B4F"/>
            <w:spacing w:val="0"/>
            <w:sz w:val="18"/>
            <w:szCs w:val="18"/>
          </w:rPr>
          <w:fldChar w:fldCharType="end"/>
        </w:r>
      </w:hyperlink>
    </w:p>
    <w:p>
      <w:pPr>
        <w:keepNext/>
        <w:keepLines/>
        <w:tabs>
          <w:tab w:pos="10284" w:val="right"/>
        </w:tabs>
        <w:spacing w:line="276" w:lineRule="auto" w:before="280" w:after="160"/>
        <w:pBdr>
          <w:bottom w:val="single" w:sz="6" w:space="3" w:color="0F6B4F"/>
        </w:pBdr>
        <w:ind w:left="0"/>
      </w:pPr>
      <w:hyperlink w:anchor="toc_10" w:history="1">
        <w:r>
          <w:rPr>
            <w:rFonts w:ascii="Roboto" w:hAnsi="Roboto" w:cs="Roboto"/>
            <w:color w:val="0F6B4F"/>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toc_10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39</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toc_10_1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toc_10_2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40</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F6B4F"/>
            <w:spacing w:val="0"/>
            <w:sz w:val="18"/>
            <w:szCs w:val="18"/>
          </w:rPr>
          <w:fldChar w:fldCharType="begin"/>
        </w:r>
        <w:r>
          <w:rPr>
            <w:rFonts w:ascii="Roboto" w:hAnsi="Roboto" w:cs="Roboto"/>
            <w:color w:val="0F6B4F"/>
            <w:spacing w:val="0"/>
            <w:sz w:val="18"/>
            <w:szCs w:val="18"/>
          </w:rPr>
          <w:instrText xml:space="preserve"> PAGEREF toc_10_2_1 \h </w:instrText>
        </w:r>
        <w:r>
          <w:rPr>
            <w:rFonts w:ascii="Roboto" w:hAnsi="Roboto" w:cs="Roboto"/>
            <w:color w:val="0F6B4F"/>
            <w:spacing w:val="0"/>
            <w:sz w:val="18"/>
            <w:szCs w:val="18"/>
          </w:rPr>
          <w:fldChar w:fldCharType="separate"/>
        </w:r>
        <w:r>
          <w:rPr>
            <w:rFonts w:ascii="Roboto" w:hAnsi="Roboto" w:cs="Roboto"/>
            <w:color w:val="0F6B4F"/>
            <w:spacing w:val="0"/>
            <w:sz w:val="18"/>
            <w:szCs w:val="18"/>
          </w:rPr>
          <w:t xml:space="preserve">41</w:t>
        </w:r>
        <w:r>
          <w:rPr>
            <w:rFonts w:ascii="Roboto" w:hAnsi="Roboto" w:cs="Roboto"/>
            <w:color w:val="0F6B4F"/>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toc_10_3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42</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toc_10_4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43</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toc_10_5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44</w:t>
        </w:r>
        <w:r>
          <w:rPr>
            <w:rFonts w:ascii="Roboto" w:hAnsi="Roboto" w:cs="Roboto"/>
            <w:color w:val="0F6B4F"/>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F6B4F"/>
            <w:spacing w:val="0"/>
            <w:sz w:val="21"/>
            <w:szCs w:val="21"/>
          </w:rPr>
          <w:fldChar w:fldCharType="begin"/>
        </w:r>
        <w:r>
          <w:rPr>
            <w:rFonts w:ascii="Roboto" w:hAnsi="Roboto" w:cs="Roboto"/>
            <w:color w:val="0F6B4F"/>
            <w:spacing w:val="0"/>
            <w:sz w:val="21"/>
            <w:szCs w:val="21"/>
          </w:rPr>
          <w:instrText xml:space="preserve"> PAGEREF toc_10_6 \h </w:instrText>
        </w:r>
        <w:r>
          <w:rPr>
            <w:rFonts w:ascii="Roboto" w:hAnsi="Roboto" w:cs="Roboto"/>
            <w:color w:val="0F6B4F"/>
            <w:spacing w:val="0"/>
            <w:sz w:val="21"/>
            <w:szCs w:val="21"/>
          </w:rPr>
          <w:fldChar w:fldCharType="separate"/>
        </w:r>
        <w:r>
          <w:rPr>
            <w:rFonts w:ascii="Roboto" w:hAnsi="Roboto" w:cs="Roboto"/>
            <w:color w:val="0F6B4F"/>
            <w:spacing w:val="0"/>
            <w:sz w:val="21"/>
            <w:szCs w:val="21"/>
          </w:rPr>
          <w:t xml:space="preserve">45</w:t>
        </w:r>
        <w:r>
          <w:rPr>
            <w:rFonts w:ascii="Roboto" w:hAnsi="Roboto" w:cs="Roboto"/>
            <w:color w:val="0F6B4F"/>
            <w:spacing w:val="0"/>
            <w:sz w:val="21"/>
            <w:szCs w:val="21"/>
          </w:rPr>
          <w:fldChar w:fldCharType="end"/>
        </w:r>
      </w:hyperlink>
    </w:p>
    <w:p>
      <w:pPr>
        <w:keepNext/>
        <w:keepLines/>
        <w:tabs>
          <w:tab w:pos="10284" w:val="right"/>
        </w:tabs>
        <w:spacing w:line="276" w:lineRule="auto" w:before="280" w:after="160"/>
        <w:pBdr>
          <w:bottom w:val="single" w:sz="6" w:space="3" w:color="0F6B4F"/>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0F6B4F"/>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0F6B4F"/>
          </w:rPr>
          <w:t xml:space="preserve"> </w:t>
        </w:r>
        <w:r>
          <w:rPr>
            <w:rFonts w:ascii="Roboto Bold" w:hAnsi="Roboto Bold" w:cs="Roboto Bold" w:eastAsia="Roboto Bold"/>
            <w:b w:val="0"/>
            <w:color w:val="FFFFFF"/>
            <w:spacing w:val="0"/>
            <w:sz w:val="20"/>
            <w:szCs w:val="20"/>
            <w:shd w:val="clear" w:color="auto" w:fill="0F6B4F"/>
          </w:rPr>
          <w:fldChar w:fldCharType="begin"/>
        </w:r>
        <w:r>
          <w:rPr>
            <w:rFonts w:ascii="Roboto Bold" w:hAnsi="Roboto Bold" w:cs="Roboto Bold" w:eastAsia="Roboto Bold"/>
            <w:b w:val="0"/>
            <w:color w:val="FFFFFF"/>
            <w:spacing w:val="0"/>
            <w:sz w:val="20"/>
            <w:szCs w:val="20"/>
            <w:shd w:val="clear" w:color="auto" w:fill="0F6B4F"/>
          </w:rPr>
          <w:instrText xml:space="preserve"> PAGEREF toc_11 \h </w:instrText>
        </w:r>
        <w:r>
          <w:rPr>
            <w:rFonts w:ascii="Roboto Bold" w:hAnsi="Roboto Bold" w:cs="Roboto Bold" w:eastAsia="Roboto Bold"/>
            <w:b w:val="0"/>
            <w:color w:val="FFFFFF"/>
            <w:spacing w:val="0"/>
            <w:sz w:val="20"/>
            <w:szCs w:val="20"/>
            <w:shd w:val="clear" w:color="auto" w:fill="0F6B4F"/>
          </w:rPr>
          <w:fldChar w:fldCharType="separate"/>
        </w:r>
        <w:r>
          <w:rPr>
            <w:rFonts w:ascii="Roboto Bold" w:hAnsi="Roboto Bold" w:cs="Roboto Bold" w:eastAsia="Roboto Bold"/>
            <w:b w:val="0"/>
            <w:color w:val="FFFFFF"/>
            <w:spacing w:val="0"/>
            <w:sz w:val="20"/>
            <w:szCs w:val="20"/>
            <w:shd w:val="clear" w:color="auto" w:fill="0F6B4F"/>
          </w:rPr>
          <w:t xml:space="preserve">46</w:t>
        </w:r>
        <w:r>
          <w:rPr>
            <w:rFonts w:ascii="Roboto Bold" w:hAnsi="Roboto Bold" w:cs="Roboto Bold" w:eastAsia="Roboto Bold"/>
            <w:b w:val="0"/>
            <w:color w:val="FFFFFF"/>
            <w:spacing w:val="0"/>
            <w:sz w:val="20"/>
            <w:szCs w:val="20"/>
            <w:shd w:val="clear" w:color="auto" w:fill="0F6B4F"/>
          </w:rPr>
          <w:fldChar w:fldCharType="end"/>
        </w:r>
        <w:r>
          <w:rPr>
            <w:rFonts w:ascii="Roboto" w:hAnsi="Roboto" w:cs="Roboto"/>
            <w:color w:val="FFFFFF"/>
            <w:spacing w:val="0"/>
            <w:sz w:val="20"/>
            <w:szCs w:val="20"/>
            <w:shd w:val="clear" w:color="auto" w:fill="0F6B4F"/>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Bluecrest is a credit repair firm planned for Dallas, registered with the Texas Secretary of State as a credit services organization and serving clients across the state by phone, video and a secure online portal. It audits a client's three credit reports, disputes inaccurate, unverifiable and outdated items with the bureaus and the creditors that report them, and coaches each client on the habits that raise a score.</w:t>
      </w:r>
    </w:p>
    <w:p>
      <w:r>
        <w:rPr>
          <w:b w:val="0"/>
          <w:i w:val="0"/>
        </w:rPr>
        <w:t>It sells two things: a monthly credit restoration program for anyone whose reports are holding them back, and a fixed-fee 90-day mortgage readiness program for clients a loan officer refers after a declined pre-approval. Both are billed only after the work is done.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18" w:space="0" w:color="0F6B4F"/>
              <w:bottom w:val="single" w:sz="2" w:space="0" w:color="F4F4F4"/>
              <w:right w:val="single" w:sz="2" w:space="0" w:color="F4F4F4"/>
            </w:tcBorders>
            <w:shd w:val="clear" w:color="auto" w:fill="F4F4F4"/>
            <w:tcMar>
              <w:top w:w="226" w:type="dxa"/>
              <w:left w:w="283" w:type="dxa"/>
              <w:bottom w:w="226" w:type="dxa"/>
              <w:right w:w="283" w:type="dxa"/>
            </w:tcMar>
          </w:tcPr>
          <w:p>
            <w:pPr>
              <w:spacing w:before="0" w:after="0" w:line="336" w:lineRule="auto"/>
            </w:pPr>
            <w:r>
              <w:rPr>
                <w:rFonts w:ascii="Roboto" w:hAnsi="Roboto" w:cs="Roboto"/>
                <w:b w:val="0"/>
                <w:i w:val="0"/>
                <w:color w:val="0A0A0A"/>
                <w:spacing w:val="0"/>
                <w:sz w:val="21"/>
              </w:rPr>
              <w:t>To give every Texan with a damaged credit report a clear and lawful path to the loan, lease or rate they are applying for, by correcting what is wrong on the report and being plain about what cannot be changed.</w:t>
            </w:r>
          </w:p>
        </w:tc>
      </w:tr>
    </w:tbl>
    <w:p>
      <w:pPr>
        <w:spacing w:before="0" w:after="0" w:line="20" w:lineRule="exact"/>
      </w:pPr>
    </w:p>
    <w:p>
      <w:bookmarkStart w:id="4" w:name="toc_1_3"/>
      <w:pPr>
        <w:pStyle w:val="Heading2"/>
      </w:pPr>
      <w:r>
        <w:t xml:space="preserve">1.3  </w:t>
      </w:r>
      <w:r>
        <w:t>Location &amp; Market Opportunity</w:t>
      </w:r>
      <w:bookmarkEnd w:id="4"/>
    </w:p>
    <w:p>
      <w:r>
        <w:rPr>
          <w:b w:val="0"/>
          <w:i w:val="0"/>
        </w:rPr>
        <w:t>Bluecrest works from a small office suite in Dallas, but its market is the whole of Texas: a credit services organization registers once with the state and can serve any Texas resident remotely. Dallas puts the firm inside the state's largest metro and next to the mortgage lenders, real estate brokerages and auto dealers whose declined applicants are its clients.</w:t>
      </w:r>
    </w:p>
    <w:p>
      <w:r>
        <w:rPr>
          <w:b w:val="0"/>
          <w:i w:val="0"/>
        </w:rPr>
        <w:t>Texas is a large and underserved market for this work. Nearly one in three Texans with a credit record carries debt in collections, one of the highest shares of any state, and the average Texas credit score sits well below the national figure. US credit repair firms earned $7.0 billion in 2025, and the Texas share of that, measured by population, is about $649.4 million a year. The average US firm turns over about $256,000, so Bluecrest needs only a small slice of the state to reach its plan.</w:t>
      </w:r>
    </w:p>
    <w:p>
      <w:bookmarkStart w:id="5" w:name="toc_1_4"/>
      <w:pPr>
        <w:pStyle w:val="Heading2"/>
      </w:pPr>
      <w:r>
        <w:t xml:space="preserve">1.4  </w:t>
      </w:r>
      <w:r>
        <w:t>Unique Selling Points</w:t>
      </w:r>
      <w:bookmarkEnd w:id="5"/>
    </w:p>
    <w:p>
      <w:pPr>
        <w:pStyle w:val="ListBullet"/>
      </w:pPr>
      <w:r>
        <w:rPr>
          <w:b w:val="0"/>
          <w:i w:val="0"/>
        </w:rPr>
        <w:t>A defined readiness program that loan officers can refer to, with a target score and a 90-day finish line.</w:t>
      </w:r>
    </w:p>
    <w:p>
      <w:pPr>
        <w:pStyle w:val="ListBullet"/>
      </w:pPr>
      <w:r>
        <w:rPr>
          <w:b w:val="0"/>
          <w:i w:val="0"/>
        </w:rPr>
        <w:t>One named specialist per client from the first audit to the final dispute round.</w:t>
      </w:r>
    </w:p>
    <w:p>
      <w:pPr>
        <w:pStyle w:val="ListBullet"/>
      </w:pPr>
      <w:r>
        <w:rPr>
          <w:b w:val="0"/>
          <w:i w:val="0"/>
        </w:rPr>
        <w:t>Disputes written item by item with the client's evidence attached, not template letters.</w:t>
      </w:r>
    </w:p>
    <w:p>
      <w:pPr>
        <w:pStyle w:val="ListBullet"/>
        <w:spacing w:after="227"/>
      </w:pPr>
      <w:r>
        <w:rPr>
          <w:b w:val="0"/>
          <w:i w:val="0"/>
        </w:rPr>
        <w:t>No fee until each month's work is done, with the Texas registration and bond shown before signing.</w:t>
      </w:r>
    </w:p>
    <w:p>
      <w:bookmarkStart w:id="6" w:name="toc_1_5"/>
      <w:pPr>
        <w:pStyle w:val="Heading2"/>
      </w:pPr>
      <w:r>
        <w:t xml:space="preserve">1.5  </w:t>
      </w:r>
      <w:r>
        <w:t>Financial Highlights</w:t>
      </w:r>
      <w:bookmarkEnd w:id="6"/>
    </w:p>
    <w:p>
      <w:r>
        <w:rPr>
          <w:b w:val="0"/>
          <w:i w:val="0"/>
        </w:rPr>
        <w:t>Revenue is projected at $202,808 in the first year, rising to $243,369 in the second and $292,043 in the third as the client book fills and referral partners grow. Gross margin holds at 86.0% because the cost of each file is postage, software and report pulls rather than stock.</w:t>
      </w:r>
    </w:p>
    <w:p>
      <w:r>
        <w:rPr>
          <w:b w:val="0"/>
          <w:i w:val="0"/>
        </w:rPr>
        <w:t>Net income is $9,125 in the first year, a 4.5% margin, climbing to $18,088 and then $28,769, or 9.8% of revenue, by the third year. Break-even revenue is $175,149, the equivalent of about 147 clients on the monthly program, which the first year clears. Even the conservative scenario keeps the third year profitable, at $16,496 of net income.</w:t>
      </w:r>
    </w:p>
    <w:p>
      <w:bookmarkStart w:id="7" w:name="toc_1_6"/>
      <w:pPr>
        <w:pStyle w:val="Heading2"/>
      </w:pPr>
      <w:r>
        <w:t xml:space="preserve">1.6  </w:t>
      </w:r>
      <w:r>
        <w:t>Funding Requirement</w:t>
      </w:r>
      <w:bookmarkEnd w:id="7"/>
    </w:p>
    <w:p>
      <w:r>
        <w:rPr>
          <w:b w:val="0"/>
          <w:i w:val="0"/>
        </w:rPr>
        <w:t>Bluecrest needs $49,300 to open. The founder is putting in $40,000 of his own savings, and a $25,000 SBA microloan at 9.5% over five years covers the rest along with an opening cash cushion. No outside equity is sought, and profits stay in the business while the client book and cash reserve build.</w:t>
      </w:r>
    </w:p>
    <w:p>
      <w:r>
        <w:rPr>
          <w:b w:val="0"/>
          <w:i w:val="0"/>
        </w:rPr>
        <w:t>The money pays for the client portal and website, equipment and office setup, launch marketing to referral partners, legal review of the client contract and disclosures, and the Texas registration and surety bond.</w:t>
      </w:r>
    </w:p>
    <w:p>
      <w:r>
        <w:rPr>
          <w:b w:val="0"/>
          <w:i w:val="0"/>
        </w:rPr>
        <w:t>Taken together, the plan rests on a lawful, transparent way of doing a job many Texans need and few trust, aimed at the steady flow of applicants lenders turn away on credit history. The funding buys the systems, compliance footing and first partnerships that turn those referrals into a working client book.</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$202,807.50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$243,369.00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$292,042.80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$738,219.30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$28,393.05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$34,071.66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$40,885.99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$103,350.70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$174,414.45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$209,297.34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$251,156.81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$634,868.60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$150,628.35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$174,154.02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$202,384.82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$527,167.19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$193,682.13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$225,280.70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$263,274.03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$682,236.86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$18,088.30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$28,768.77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$55,982.44</w:t>
            </w:r>
          </w:p>
        </w:tc>
      </w:tr>
    </w:tbl>
    <w:p>
      <w:pPr>
        <w:keepLines/>
        <w:spacing w:before="200" w:after="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Bluecrest will be formed as a Texas limited liability company owned by its founder, Marcus Bennett, and will elect to be taxed as a corporation. A single owner keeps decisions quick at launch while the corporate election lets the firm retain earnings at the federal rate as the client book builds.</w:t>
      </w:r>
    </w:p>
    <w:p>
      <w:r>
        <w:rPr>
          <w:b w:val="0"/>
          <w:i w:val="0"/>
        </w:rPr>
        <w:t>Before it signs a client, the company registers with the Texas Secretary of State as a credit services organization under Finance Code chapter 393, renews that registration every year, and keeps a $10,000 surety bond on file so it may lawfully bill as the work proceeds. It also operates as a credit repair organization under the federal Credit Repair Organizations Act, which governs its contracts, disclosures and billing nationally.</w:t>
      </w:r>
    </w:p>
    <w:p>
      <w:bookmarkStart w:id="11" w:name="toc_2_2"/>
      <w:pPr>
        <w:pStyle w:val="Heading2"/>
      </w:pPr>
      <w:r>
        <w:t xml:space="preserve">2.2  </w:t>
      </w:r>
      <w:r>
        <w:t>Vision Statement</w:t>
      </w:r>
      <w:bookmarkEnd w:id="11"/>
    </w:p>
    <w:p>
      <w:r>
        <w:rPr>
          <w:b w:val="0"/>
          <w:i w:val="0"/>
        </w:rPr>
        <w:t>Bluecrest wants to be the firm Texas lenders and agents trust with the applicants they cannot approve yet: the one that tells a client straight which items can be challenged, fixes those, and sends them back ready to apply. It aims to make credit repair something a person can recommend to a friend without embarrassment.</w:t>
      </w:r>
    </w:p>
    <w:p>
      <w:bookmarkStart w:id="12" w:name="toc_2_3"/>
      <w:pPr>
        <w:pStyle w:val="Heading2"/>
      </w:pPr>
      <w:r>
        <w:t xml:space="preserve">2.3  </w:t>
      </w:r>
      <w:r>
        <w:t>Background &amp; History</w:t>
      </w:r>
      <w:bookmarkEnd w:id="12"/>
    </w:p>
    <w:p>
      <w:r>
        <w:rPr>
          <w:b w:val="0"/>
          <w:i w:val="0"/>
        </w:rPr>
        <w:t>Bluecrest is a new business that has not yet traded. It comes from the founder's nine years as a mortgage loan processor in Dallas, where he read credit reports and denial letters every week and saw applicants turned down over collections that had been paid, accounts that were not theirs, and late payments reported in error.</w:t>
      </w:r>
    </w:p>
    <w:p>
      <w:r>
        <w:rPr>
          <w:b w:val="0"/>
          <w:i w:val="0"/>
        </w:rPr>
        <w:t>Those applicants usually had nowhere obvious to go. Some tried disputing on their own and gave up after a form reply; others paid national firms that charged for months with little explanation. The founder's plan is to build the service he wished he could have referred them to: specific, documented disputes, honest advice on what has to be waited out, and progress a loan officer can see.</w:t>
      </w:r>
    </w:p>
    <w:p>
      <w:bookmarkStart w:id="13" w:name="toc_2_4"/>
      <w:pPr>
        <w:pStyle w:val="Heading2"/>
      </w:pPr>
      <w:r>
        <w:t xml:space="preserve">2.4  </w:t>
      </w:r>
      <w:r>
        <w:t>Future Goals</w:t>
      </w:r>
      <w:bookmarkEnd w:id="13"/>
    </w:p>
    <w:p>
      <w:r>
        <w:rPr>
          <w:b w:val="0"/>
          <w:i w:val="0"/>
        </w:rPr>
        <w:t>In the first 0 to 18 months, the goal is to register and bond the firm, open enrollment across Texas in January 2027, build an active book of 160 restoration clients by the tenth month, and sign twenty loan officers and agents as regular referral partners. Success at this stage is measured in items corrected, readiness clients reaching their target score, and the reviews that follow.</w:t>
      </w:r>
    </w:p>
    <w:p>
      <w:r>
        <w:rPr>
          <w:b w:val="0"/>
          <w:i w:val="0"/>
        </w:rPr>
        <w:t>Over 1 to 3 years, which the financial projection covers, Bluecrest aims to grow revenue to $292,043 by the third year, add a client success coordinator so the specialists spend their time on disputes, and extend its partner network from Dallas-Fort Worth to lenders in Houston, San Antonio and Austin, all served remotely from the Dallas office.</w:t>
      </w:r>
    </w:p>
    <w:p>
      <w:r>
        <w:rPr>
          <w:b w:val="0"/>
          <w:i w:val="0"/>
        </w:rPr>
        <w:t>In 3 to 5 years, the founder intends to add a second dispute team, widen the readiness program to auto dealers and apartment leasing offices, and consider registering in neighboring states where Texas partners already lend. Each step depends on the first years proving that compliant, referral-led credit repair can grow without paid volume.</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0F6B4F"/>
              <w:left w:val="single" w:sz="2" w:space="0" w:color="0F6B4F"/>
              <w:bottom w:val="single" w:sz="2" w:space="0" w:color="0F6B4F"/>
              <w:right w:val="single" w:sz="2" w:space="0" w:color="0F6B4F"/>
            </w:tcBorders>
            <w:shd w:val="clear" w:color="auto" w:fill="0F6B4F"/>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Marcus Bennett</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0F6B4F"/>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Marcus Bennett</w:t>
            </w:r>
          </w:p>
          <w:p>
            <w:pPr>
              <w:spacing w:before="0" w:after="0" w:line="276" w:lineRule="auto"/>
            </w:pPr>
            <w:r>
              <w:rPr>
                <w:rFonts w:ascii="Roboto" w:hAnsi="Roboto" w:cs="Roboto"/>
                <w:b w:val="0"/>
                <w:i w:val="0"/>
                <w:color w:val="595959"/>
                <w:spacing w:val="0"/>
                <w:sz w:val="19"/>
              </w:rPr>
              <w:t>10,000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160 active restoration clients across Texas.</w:t>
            </w:r>
          </w:p>
          <w:p>
            <w:pPr>
              <w:pStyle w:val="ListBullet"/>
              <w:spacing w:before="0" w:after="91" w:line="278" w:lineRule="exact"/>
              <w:ind w:left="283" w:hanging="227"/>
              <w:rPr>
                <w:sz w:val="19"/>
                <w:szCs w:val="19"/>
              </w:rPr>
            </w:pPr>
            <w:r>
              <w:rPr>
                <w:b w:val="0"/>
                <w:i w:val="0"/>
                <w:spacing w:val="0"/>
                <w:sz w:val="19"/>
              </w:rPr>
              <w:t>Six readiness enrollments a month from referrals.</w:t>
            </w:r>
          </w:p>
          <w:p>
            <w:pPr>
              <w:pStyle w:val="ListBullet"/>
              <w:spacing w:before="0" w:after="91" w:line="278" w:lineRule="exact"/>
              <w:ind w:left="283" w:hanging="227"/>
              <w:rPr>
                <w:sz w:val="19"/>
                <w:szCs w:val="19"/>
              </w:rPr>
            </w:pPr>
            <w:r>
              <w:rPr>
                <w:b w:val="0"/>
                <w:i w:val="0"/>
                <w:spacing w:val="0"/>
                <w:sz w:val="19"/>
              </w:rPr>
              <w:t>Every dispute written item by item with evidence.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Clients and enrollments counted monthly.</w:t>
            </w:r>
          </w:p>
          <w:p>
            <w:pPr>
              <w:pStyle w:val="ListBullet"/>
              <w:spacing w:before="0" w:after="91" w:line="278" w:lineRule="exact"/>
              <w:ind w:left="283" w:hanging="227"/>
              <w:rPr>
                <w:sz w:val="19"/>
                <w:szCs w:val="19"/>
              </w:rPr>
            </w:pPr>
            <w:r>
              <w:rPr>
                <w:b w:val="0"/>
                <w:i w:val="0"/>
                <w:spacing w:val="0"/>
                <w:sz w:val="19"/>
              </w:rPr>
              <w:t>Items corrected after each bureau investigation.</w:t>
            </w:r>
          </w:p>
          <w:p>
            <w:pPr>
              <w:pStyle w:val="ListBullet"/>
              <w:spacing w:before="0" w:after="91" w:line="278" w:lineRule="exact"/>
              <w:ind w:left="283" w:hanging="227"/>
              <w:rPr>
                <w:sz w:val="19"/>
                <w:szCs w:val="19"/>
              </w:rPr>
            </w:pPr>
            <w:r>
              <w:rPr>
                <w:b w:val="0"/>
                <w:i w:val="0"/>
                <w:spacing w:val="0"/>
                <w:sz w:val="19"/>
              </w:rPr>
              <w:t>Readiness clients at target score by day 90.</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 reads files as an underwriter does.</w:t>
            </w:r>
          </w:p>
          <w:p>
            <w:pPr>
              <w:pStyle w:val="ListBullet"/>
              <w:spacing w:before="0" w:after="91" w:line="278" w:lineRule="exact"/>
              <w:ind w:left="283" w:hanging="227"/>
              <w:rPr>
                <w:sz w:val="19"/>
                <w:szCs w:val="19"/>
              </w:rPr>
            </w:pPr>
            <w:r>
              <w:rPr>
                <w:b w:val="0"/>
                <w:i w:val="0"/>
                <w:spacing w:val="0"/>
                <w:sz w:val="19"/>
              </w:rPr>
              <w:t>Software priced per client keeps fixed costs low.</w:t>
            </w:r>
          </w:p>
          <w:p>
            <w:pPr>
              <w:pStyle w:val="ListBullet"/>
              <w:spacing w:before="0" w:after="91" w:line="278" w:lineRule="exact"/>
              <w:ind w:left="283" w:hanging="227"/>
              <w:rPr>
                <w:sz w:val="19"/>
                <w:szCs w:val="19"/>
              </w:rPr>
            </w:pPr>
            <w:r>
              <w:rPr>
                <w:b w:val="0"/>
                <w:i w:val="0"/>
                <w:spacing w:val="0"/>
                <w:sz w:val="19"/>
              </w:rPr>
              <w:t>A ten-month ramp allows for clients finishing.</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Texas collections debt runs well above the US rate.</w:t>
            </w:r>
          </w:p>
          <w:p>
            <w:pPr>
              <w:pStyle w:val="ListBullet"/>
              <w:spacing w:before="0" w:after="91" w:line="278" w:lineRule="exact"/>
              <w:ind w:left="283" w:hanging="227"/>
              <w:rPr>
                <w:sz w:val="19"/>
                <w:szCs w:val="19"/>
              </w:rPr>
            </w:pPr>
            <w:r>
              <w:rPr>
                <w:b w:val="0"/>
                <w:i w:val="0"/>
                <w:spacing w:val="0"/>
                <w:sz w:val="19"/>
              </w:rPr>
              <w:t>Mortgage-ready first-time buyers are scarce.</w:t>
            </w:r>
          </w:p>
          <w:p>
            <w:pPr>
              <w:pStyle w:val="ListBullet"/>
              <w:spacing w:before="0" w:after="91" w:line="278" w:lineRule="exact"/>
              <w:ind w:left="283" w:hanging="227"/>
              <w:rPr>
                <w:sz w:val="19"/>
                <w:szCs w:val="19"/>
              </w:rPr>
            </w:pPr>
            <w:r>
              <w:rPr>
                <w:b w:val="0"/>
                <w:i w:val="0"/>
                <w:spacing w:val="0"/>
                <w:sz w:val="19"/>
              </w:rPr>
              <w:t>Referrals, not ad spend, keep a small firm profitable.</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Registration and bond filed before the first contract.</w:t>
            </w:r>
          </w:p>
          <w:p>
            <w:pPr>
              <w:pStyle w:val="ListBullet"/>
              <w:spacing w:before="0" w:after="91" w:line="278" w:lineRule="exact"/>
              <w:ind w:left="283" w:hanging="227"/>
              <w:rPr>
                <w:sz w:val="19"/>
                <w:szCs w:val="19"/>
              </w:rPr>
            </w:pPr>
            <w:r>
              <w:rPr>
                <w:b w:val="0"/>
                <w:i w:val="0"/>
                <w:spacing w:val="0"/>
                <w:sz w:val="19"/>
              </w:rPr>
              <w:t>Twenty referral partners within six months.</w:t>
            </w:r>
          </w:p>
          <w:p>
            <w:pPr>
              <w:pStyle w:val="ListBullet"/>
              <w:spacing w:before="0" w:after="91" w:line="278" w:lineRule="exact"/>
              <w:ind w:left="283" w:hanging="227"/>
              <w:rPr>
                <w:sz w:val="19"/>
                <w:szCs w:val="19"/>
              </w:rPr>
            </w:pPr>
            <w:r>
              <w:rPr>
                <w:b w:val="0"/>
                <w:i w:val="0"/>
                <w:spacing w:val="0"/>
                <w:sz w:val="19"/>
              </w:rPr>
              <w:t>The full client book by the tenth month.</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Credit repair firms identify errors on consumer credit reports and dispute inaccurate, unverifiable or outdated information with the credit bureaus and the lenders that report it. IBISWorld measured the US industry at $7.0 billion of revenue in 2025, down 1.1% on the year, and expects $6.8 billion in 2026 after five years of growth averaging 0.6% a year.</w:t>
      </w:r>
    </w:p>
    <w:p>
      <w:r>
        <w:rPr>
          <w:b w:val="0"/>
          <w:i w:val="0"/>
        </w:rPr>
        <w:t>It is a crowded trade of small operators: 27,304 businesses in 2025, falling to 25,352 in 2026 as weaker firms leave. IBISWorld calls demand countercyclical, rising when interest rates and prices squeeze household budgets and easing when borrowing gets cheaper.</w:t>
      </w:r>
    </w:p>
    <w:p>
      <w:bookmarkStart w:id="18" w:name="toc_3_2"/>
      <w:pPr>
        <w:pStyle w:val="Heading2"/>
      </w:pPr>
      <w:r>
        <w:t xml:space="preserve">3.2  </w:t>
      </w:r>
      <w:r>
        <w:t>Market Segmentation</w:t>
      </w:r>
      <w:bookmarkEnd w:id="18"/>
    </w:p>
    <w:p>
      <w:r>
        <w:rPr>
          <w:b w:val="0"/>
          <w:i w:val="0"/>
        </w:rPr>
        <w:t>The market splits first by how damaged a file is. In September 2025, 14.7% of US consumers had a Poor FICO Score below 580 and 14.9% a Fair one between 580 and 669. A separate Federal Reserve measure put 23.9% of adults with a credit record below 660. Those bands are where denials and high rates concentrate, and where most paying clients come from.</w:t>
      </w:r>
    </w:p>
    <w:p>
      <w:r>
        <w:rPr>
          <w:b w:val="0"/>
          <w:i w:val="0"/>
        </w:rPr>
        <w:t>It splits second by what the client is trying to do: buy a home, finance a car, pass an apartment screening, or cut the rate on existing debt. Mortgage applicants have the clearest deadline and the most to gain, which is why Bluecrest builds a program for them. A third group, the 25.4 million adults whose files are too thin to score, needs credit building rather than disputes, and sits outside this business.</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Scores are slipping:</w:t>
      </w:r>
      <w:r>
        <w:rPr>
          <w:b w:val="0"/>
          <w:i w:val="0"/>
        </w:rPr>
        <w:t xml:space="preserve"> the average FICO Score fell to 715 in April 2025 and 714 in early 2026, pulled down partly by student loan delinquencies returning to reports.</w:t>
      </w:r>
    </w:p>
    <w:p>
      <w:pPr>
        <w:pStyle w:val="ListBullet"/>
      </w:pPr>
      <w:r>
        <w:rPr>
          <w:rFonts w:ascii="Roboto Bold" w:hAnsi="Roboto Bold" w:eastAsia="Roboto Bold" w:cs="Roboto Bold"/>
          <w:b w:val="0"/>
          <w:i w:val="0"/>
        </w:rPr>
        <w:t>Medical debt rules keep shifting:</w:t>
      </w:r>
      <w:r>
        <w:rPr>
          <w:b w:val="0"/>
          <w:i w:val="0"/>
        </w:rPr>
        <w:t xml:space="preserve"> paid medical collections and those under $500 left reports by April 2023, while a federal rule to remove most medical debt was struck down in July 2025.</w:t>
      </w:r>
    </w:p>
    <w:p>
      <w:pPr>
        <w:pStyle w:val="ListBullet"/>
      </w:pPr>
      <w:r>
        <w:rPr>
          <w:rFonts w:ascii="Roboto Bold" w:hAnsi="Roboto Bold" w:eastAsia="Roboto Bold" w:cs="Roboto Bold"/>
          <w:b w:val="0"/>
          <w:i w:val="0"/>
        </w:rPr>
        <w:t>The rules on billing are strict:</w:t>
      </w:r>
      <w:r>
        <w:rPr>
          <w:b w:val="0"/>
          <w:i w:val="0"/>
        </w:rPr>
        <w:t xml:space="preserve"> federal law bars any fee before the service is performed and gives every client three business days to cancel.</w:t>
      </w:r>
    </w:p>
    <w:p>
      <w:pPr>
        <w:pStyle w:val="ListBullet"/>
        <w:spacing w:after="227"/>
      </w:pPr>
      <w:r>
        <w:rPr>
          <w:rFonts w:ascii="Roboto Bold" w:hAnsi="Roboto Bold" w:eastAsia="Roboto Bold" w:cs="Roboto Bold"/>
          <w:b w:val="0"/>
          <w:i w:val="0"/>
        </w:rPr>
        <w:t>Investigations run on a fixed clock:</w:t>
      </w:r>
      <w:r>
        <w:rPr>
          <w:b w:val="0"/>
          <w:i w:val="0"/>
        </w:rPr>
        <w:t xml:space="preserve"> bureaus must reinvestigate a dispute within 30 days, up to 45, and may set aside one they find frivolous.</w:t>
      </w:r>
    </w:p>
    <w:p>
      <w:bookmarkStart w:id="20" w:name="toc_3_4"/>
      <w:pPr>
        <w:pStyle w:val="Heading2"/>
      </w:pPr>
      <w:r>
        <w:t xml:space="preserve">3.4  </w:t>
      </w:r>
      <w:r>
        <w:t>Local Market Outlook</w:t>
      </w:r>
      <w:bookmarkEnd w:id="20"/>
    </w:p>
    <w:p>
      <w:r>
        <w:rPr>
          <w:b w:val="0"/>
          <w:i w:val="0"/>
        </w:rPr>
        <w:t>Texas files are in worse shape than the nation's. In August 2025, 32.9% of Texans with a credit record had debt in collections, the second highest share of any state, against 22.7% nationally; in Dallas County it was 36.7%. Texas credit card delinquency ran at 6.7% and auto loan delinquency at 7.2%, both above the US rate, and the average Texas FICO Score was 692 in 2025.</w:t>
      </w:r>
    </w:p>
    <w:p>
      <w:r>
        <w:rPr>
          <w:b w:val="0"/>
          <w:i w:val="0"/>
        </w:rPr>
        <w:t>The catchment is large and growing. Texas had 31,709,821 residents in July 2025, and the Dallas-Fort Worth metro alone held 8,477,157. Demand reaches Bluecrest through lenders: 83,578 Texas home purchase applications were denied in 2025, and in Dallas-Fort Worth credit history was cited in 4,686 denials.</w:t>
      </w:r>
    </w:p>
    <w:p>
      <w:r>
        <w:rPr>
          <w:b w:val="0"/>
          <w:i w:val="0"/>
        </w:rPr>
        <w:t>No published count of registered Texas credit services organizations exists, so the number of local competitors is unknown. Every firm trading here is bound by the same state rules: registration with the Secretary of State at $100 a year, a $10,000 surety bond to bill as work proceeds, and a contract period of no more than 180 days.</w:t>
      </w:r>
    </w:p>
    <w:p>
      <w:bookmarkStart w:id="21" w:name="toc_3_5"/>
      <w:pPr>
        <w:pStyle w:val="Heading2"/>
      </w:pPr>
      <w:r>
        <w:t xml:space="preserve">3.5  </w:t>
      </w:r>
      <w:r>
        <w:t>Market Size</w:t>
      </w:r>
      <w:bookmarkEnd w:id="21"/>
    </w:p>
    <w:p>
      <w:r>
        <w:rPr>
          <w:b w:val="0"/>
          <w:i w:val="0"/>
        </w:rPr>
        <w:t>The total addressable market is the US credit repair industry, $7.0 billion of revenue in 2025. The serviceable market is Texas, which holds 9.278% of the US population; that share of the national industry is about $649.4 million a year. Given the state's higher collections rate, a population share probably understates Texas demand.</w:t>
      </w:r>
    </w:p>
    <w:p>
      <w:r>
        <w:rPr>
          <w:b w:val="0"/>
          <w:i w:val="0"/>
        </w:rPr>
        <w:t>The obtainable market is set at the scale of one firm: $256,000, the average annual revenue of a US credit repair business in 2025. It is a national average rather than a Texas figure. Bluecrest's first-year projection of $202,808 sits below it, which is a modest claim on a market of this size.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083C2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credit repair services generated $7.0 billion in revenue in 2025 (IBISWorld), down 1.1% on the year.</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83C2C"/>
                      <w:spacing w:val="0"/>
                      <w:sz w:val="24"/>
                    </w:rPr>
                    <w:t>7.0B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0F6B4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Texas holds 9.278% of the US population (31,709,821 of 341,784,857 in 2025), and that share of the $7.0 billion US credit repair industry is about $649 million of annual revenue, the Texas serviceable market.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F6B4F"/>
                      <w:spacing w:val="0"/>
                      <w:sz w:val="24"/>
                    </w:rPr>
                    <w:t>649.4M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BCF6E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$7.0 billion across 27,304 US credit repair businesses is an average of about $256,000 of annual revenue for one business in 2025; this is a national average, not a Texas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4906B"/>
                      <w:spacing w:val="0"/>
                      <w:sz w:val="24"/>
                    </w:rPr>
                    <w:t>256.0k</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Federal enforcement of credit repair rules shifts with each administration's CFPB priorities.</w:t>
            </w:r>
          </w:p>
          <w:p>
            <w:pPr>
              <w:pStyle w:val="ListBullet"/>
              <w:spacing w:before="0" w:after="91" w:line="278" w:lineRule="exact"/>
              <w:ind w:left="283" w:hanging="227"/>
              <w:rPr>
                <w:sz w:val="19"/>
                <w:szCs w:val="19"/>
              </w:rPr>
            </w:pPr>
            <w:r>
              <w:rPr>
                <w:b w:val="0"/>
                <w:i w:val="0"/>
                <w:spacing w:val="0"/>
                <w:sz w:val="19"/>
              </w:rPr>
              <w:t>Texas regulates the trade through Secretary of State registration rather than a licensing board.</w:t>
            </w:r>
          </w:p>
          <w:p>
            <w:pPr>
              <w:pStyle w:val="ListBullet"/>
              <w:spacing w:before="0" w:after="91" w:line="278" w:lineRule="exact"/>
              <w:ind w:left="283" w:hanging="227"/>
              <w:rPr>
                <w:sz w:val="19"/>
                <w:szCs w:val="19"/>
              </w:rPr>
            </w:pPr>
            <w:r>
              <w:rPr>
                <w:b w:val="0"/>
                <w:i w:val="0"/>
                <w:spacing w:val="0"/>
                <w:sz w:val="19"/>
              </w:rPr>
              <w:t>No Texas income tax, and a firm this size owes no franchise tax.</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Texas credit card and auto loan delinquency both run above the national rate.</w:t>
            </w:r>
          </w:p>
          <w:p>
            <w:pPr>
              <w:pStyle w:val="ListBullet"/>
              <w:spacing w:before="0" w:after="91" w:line="278" w:lineRule="exact"/>
              <w:ind w:left="283" w:hanging="227"/>
              <w:rPr>
                <w:sz w:val="19"/>
                <w:szCs w:val="19"/>
              </w:rPr>
            </w:pPr>
            <w:r>
              <w:rPr>
                <w:b w:val="0"/>
                <w:i w:val="0"/>
                <w:spacing w:val="0"/>
                <w:sz w:val="19"/>
              </w:rPr>
              <w:t>Higher interest rates widen the cost gap between subprime and prime borrowers.</w:t>
            </w:r>
          </w:p>
          <w:p>
            <w:pPr>
              <w:pStyle w:val="ListBullet"/>
              <w:spacing w:before="0" w:after="91" w:line="278" w:lineRule="exact"/>
              <w:ind w:left="283" w:hanging="227"/>
              <w:rPr>
                <w:sz w:val="19"/>
                <w:szCs w:val="19"/>
              </w:rPr>
            </w:pPr>
            <w:r>
              <w:rPr>
                <w:b w:val="0"/>
                <w:i w:val="0"/>
                <w:spacing w:val="0"/>
                <w:sz w:val="19"/>
              </w:rPr>
              <w:t>Demand is countercyclical: it rises when household budgets are under strain.</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Texas added 391,243 residents in a year, more than any other state.</w:t>
            </w:r>
          </w:p>
          <w:p>
            <w:pPr>
              <w:pStyle w:val="ListBullet"/>
              <w:spacing w:before="0" w:after="91" w:line="278" w:lineRule="exact"/>
              <w:ind w:left="283" w:hanging="227"/>
              <w:rPr>
                <w:sz w:val="19"/>
                <w:szCs w:val="19"/>
              </w:rPr>
            </w:pPr>
            <w:r>
              <w:rPr>
                <w:b w:val="0"/>
                <w:i w:val="0"/>
                <w:spacing w:val="0"/>
                <w:sz w:val="19"/>
              </w:rPr>
              <w:t>Younger adults carry the lowest average scores and the nearest lending deadlines.</w:t>
            </w:r>
          </w:p>
          <w:p>
            <w:pPr>
              <w:pStyle w:val="ListBullet"/>
              <w:spacing w:before="0" w:after="91" w:line="278" w:lineRule="exact"/>
              <w:ind w:left="283" w:hanging="227"/>
              <w:rPr>
                <w:sz w:val="19"/>
                <w:szCs w:val="19"/>
              </w:rPr>
            </w:pPr>
            <w:r>
              <w:rPr>
                <w:b w:val="0"/>
                <w:i w:val="0"/>
                <w:spacing w:val="0"/>
                <w:sz w:val="19"/>
              </w:rPr>
              <w:t>Distrust of the trade after high-profile enforcement makes transparency a selling point.</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Dispute software priced per client lowers the cost of entry for every competitor.</w:t>
            </w:r>
          </w:p>
          <w:p>
            <w:pPr>
              <w:pStyle w:val="ListBullet"/>
              <w:spacing w:before="0" w:after="91" w:line="278" w:lineRule="exact"/>
              <w:ind w:left="283" w:hanging="227"/>
              <w:rPr>
                <w:sz w:val="19"/>
                <w:szCs w:val="19"/>
              </w:rPr>
            </w:pPr>
            <w:r>
              <w:rPr>
                <w:b w:val="0"/>
                <w:i w:val="0"/>
                <w:spacing w:val="0"/>
                <w:sz w:val="19"/>
              </w:rPr>
              <w:t>Bureaus route disputes through e-OSCAR, rewarding specific, documented claims.</w:t>
            </w:r>
          </w:p>
          <w:p>
            <w:pPr>
              <w:pStyle w:val="ListBullet"/>
              <w:spacing w:before="0" w:after="91" w:line="278" w:lineRule="exact"/>
              <w:ind w:left="283" w:hanging="227"/>
              <w:rPr>
                <w:sz w:val="19"/>
                <w:szCs w:val="19"/>
              </w:rPr>
            </w:pPr>
            <w:r>
              <w:rPr>
                <w:b w:val="0"/>
                <w:i w:val="0"/>
                <w:spacing w:val="0"/>
                <w:sz w:val="19"/>
              </w:rPr>
              <w:t>E-signature and a client portal allow statewide service without branch offices.</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Remote service and electronic documents keep travel and paper use low.</w:t>
            </w:r>
          </w:p>
          <w:p>
            <w:pPr>
              <w:pStyle w:val="ListBullet"/>
              <w:spacing w:before="0" w:after="91" w:line="278" w:lineRule="exact"/>
              <w:ind w:left="283" w:hanging="227"/>
              <w:rPr>
                <w:sz w:val="19"/>
                <w:szCs w:val="19"/>
              </w:rPr>
            </w:pPr>
            <w:r>
              <w:rPr>
                <w:b w:val="0"/>
                <w:i w:val="0"/>
                <w:spacing w:val="0"/>
                <w:sz w:val="19"/>
              </w:rPr>
              <w:t>Certified mail for disputes is the main physical footprint of the work.</w:t>
            </w:r>
          </w:p>
          <w:p>
            <w:pPr>
              <w:pStyle w:val="ListBullet"/>
              <w:spacing w:before="0" w:after="91" w:line="278" w:lineRule="exact"/>
              <w:ind w:left="283" w:hanging="227"/>
              <w:rPr>
                <w:sz w:val="19"/>
                <w:szCs w:val="19"/>
              </w:rPr>
            </w:pPr>
            <w:r>
              <w:rPr>
                <w:b w:val="0"/>
                <w:i w:val="0"/>
                <w:spacing w:val="0"/>
                <w:sz w:val="19"/>
              </w:rPr>
              <w:t>Texas storms can disrupt client finances, creating late payments worth goodwill requests.</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The Credit Repair Organizations Act bars any fee before the work is performed.</w:t>
            </w:r>
          </w:p>
          <w:p>
            <w:pPr>
              <w:pStyle w:val="ListBullet"/>
              <w:spacing w:before="0" w:after="91" w:line="278" w:lineRule="exact"/>
              <w:ind w:left="283" w:hanging="227"/>
              <w:rPr>
                <w:sz w:val="19"/>
                <w:szCs w:val="19"/>
              </w:rPr>
            </w:pPr>
            <w:r>
              <w:rPr>
                <w:b w:val="0"/>
                <w:i w:val="0"/>
                <w:spacing w:val="0"/>
                <w:sz w:val="19"/>
              </w:rPr>
              <w:t>Texas chapter 393 requires registration, a $10,000 bond and a 180-day contract limit.</w:t>
            </w:r>
          </w:p>
          <w:p>
            <w:pPr>
              <w:pStyle w:val="ListBullet"/>
              <w:spacing w:before="0" w:after="91" w:line="278" w:lineRule="exact"/>
              <w:ind w:left="283" w:hanging="227"/>
              <w:rPr>
                <w:sz w:val="19"/>
                <w:szCs w:val="19"/>
              </w:rPr>
            </w:pPr>
            <w:r>
              <w:rPr>
                <w:b w:val="0"/>
                <w:i w:val="0"/>
                <w:spacing w:val="0"/>
                <w:sz w:val="19"/>
              </w:rPr>
              <w:t>Selling by phone triggers the federal telemarketing rule's six-month fee delay.</w:t>
            </w:r>
          </w:p>
        </w:tc>
      </w:tr>
    </w:tbl>
    <w:p>
      <w:pPr>
        <w:keepLines/>
        <w:spacing w:before="200" w:after="0" w:line="240" w:lineRule="auto"/>
      </w:pPr>
      <w:hyperlink r:id="rId31">
        <w:r>
          <w:drawing>
            <wp:inline xmlns:a="http://schemas.openxmlformats.org/drawingml/2006/main" xmlns:pic="http://schemas.openxmlformats.org/drawingml/2006/picture">
              <wp:extent cx="6530399" cy="528636"/>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Bluecrest serves Texas adults, most of them aged 25 to 54, whose credit reports stand between them and something specific: a mortgage, a car loan, an apartment, or a lower rate on debt they already carry. Many have been told so in writing, in a denial letter or a pricing notice, and arrive knowing roughly how far short they are.</w:t>
      </w:r>
    </w:p>
    <w:p>
      <w:r>
        <w:rPr>
          <w:b w:val="0"/>
          <w:i w:val="0"/>
        </w:rPr>
        <w:t>They are not hard to find. In September 2025, 29.6% of US consumers held Poor or Fair FICO Scores, and 23.9% of adults with a credit record were below 660. Most have a mix of items: some genuinely inaccurate, some outdated or unverifiable, and some accurate late payments that can only be outgrown. Part of Bluecrest's job is telling them which is which.</w:t>
      </w:r>
    </w:p>
    <w:p>
      <w:r>
        <w:rPr>
          <w:b w:val="0"/>
          <w:i w:val="0"/>
        </w:rPr>
        <w:t>The second market is the people who refer them. Loan officers, real estate agents, auto finance managers and apartment leasing offices see declined applicants every week and lose the sale when they walk away. A firm that returns those applicants ready to qualify is worth more to them than any advertisement.</w:t>
      </w:r>
    </w:p>
    <w:p>
      <w:bookmarkStart w:id="25" w:name="toc_4_2"/>
      <w:pPr>
        <w:pStyle w:val="Heading2"/>
      </w:pPr>
      <w:r>
        <w:t xml:space="preserve">4.2  </w:t>
      </w:r>
      <w:r>
        <w:t>Customer Segments</w:t>
      </w:r>
      <w:bookmarkEnd w:id="25"/>
    </w:p>
    <w:p>
      <w:pPr>
        <w:pStyle w:val="ListBullet"/>
      </w:pPr>
      <w:r>
        <w:rPr>
          <w:rFonts w:ascii="Roboto Bold" w:hAnsi="Roboto Bold" w:eastAsia="Roboto Bold" w:cs="Roboto Bold"/>
          <w:b w:val="0"/>
          <w:i w:val="0"/>
        </w:rPr>
        <w:t>Declined homebuyers:</w:t>
      </w:r>
      <w:r>
        <w:rPr>
          <w:b w:val="0"/>
          <w:i w:val="0"/>
        </w:rPr>
        <w:t xml:space="preserve"> referred by a loan officer after a failed pre-approval, they buy the 90-day readiness program and care most about the date they can reapply.</w:t>
      </w:r>
    </w:p>
    <w:p>
      <w:pPr>
        <w:pStyle w:val="ListBullet"/>
      </w:pPr>
      <w:r>
        <w:rPr>
          <w:rFonts w:ascii="Roboto Bold" w:hAnsi="Roboto Bold" w:eastAsia="Roboto Bold" w:cs="Roboto Bold"/>
          <w:b w:val="0"/>
          <w:i w:val="0"/>
        </w:rPr>
        <w:t>Car and apartment applicants:</w:t>
      </w:r>
      <w:r>
        <w:rPr>
          <w:b w:val="0"/>
          <w:i w:val="0"/>
        </w:rPr>
        <w:t xml:space="preserve"> turned down or quoted a high rate, they buy the monthly program for two to four months to clear the items blocking one application.</w:t>
      </w:r>
    </w:p>
    <w:p>
      <w:pPr>
        <w:pStyle w:val="ListBullet"/>
      </w:pPr>
      <w:r>
        <w:rPr>
          <w:rFonts w:ascii="Roboto Bold" w:hAnsi="Roboto Bold" w:eastAsia="Roboto Bold" w:cs="Roboto Bold"/>
          <w:b w:val="0"/>
          <w:i w:val="0"/>
        </w:rPr>
        <w:t>Rate reducers:</w:t>
      </w:r>
      <w:r>
        <w:rPr>
          <w:b w:val="0"/>
          <w:i w:val="0"/>
        </w:rPr>
        <w:t xml:space="preserve"> already borrowing at subprime rates, they buy the monthly program to correct errors before refinancing a car loan or card balance.</w:t>
      </w:r>
    </w:p>
    <w:p>
      <w:pPr>
        <w:pStyle w:val="ListBullet"/>
        <w:spacing w:after="227"/>
      </w:pPr>
      <w:r>
        <w:rPr>
          <w:rFonts w:ascii="Roboto Bold" w:hAnsi="Roboto Bold" w:eastAsia="Roboto Bold" w:cs="Roboto Bold"/>
          <w:b w:val="0"/>
          <w:i w:val="0"/>
        </w:rPr>
        <w:t>Rebuilders after a hardship:</w:t>
      </w:r>
      <w:r>
        <w:rPr>
          <w:b w:val="0"/>
          <w:i w:val="0"/>
        </w:rPr>
        <w:t xml:space="preserve"> recovering from medical bills, divorce or a lost job, they stay longest and value the coaching as much as the disputes.</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0" name="Picture 902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Danielle, the Denied Homebuyer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one child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Garland, TX</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$68,000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Associate degree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Dental office manager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“My lender said I was 40 points short. I need someone to tell me exactly which items are wrong and how long fixing them takes.”</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Pre-approval declined on credit history after six years of renting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Two medical collections and a closed card reported late in error</w:t>
                  </w:r>
                </w:p>
                <w:p>
                  <w:pPr>
                    <w:pStyle w:val="ListBullet"/>
                    <w:spacing w:before="0" w:after="57" w:line="282" w:lineRule="exact"/>
                    <w:ind w:left="283" w:hanging="266"/>
                    <w:rPr>
                      <w:sz w:val="19"/>
                      <w:szCs w:val="19"/>
                    </w:rPr>
                  </w:pPr>
                  <w:r>
                    <w:rPr>
                      <w:rFonts w:ascii="Roboto" w:hAnsi="Roboto" w:cs="Roboto"/>
                      <w:b w:val="0"/>
                      <w:i w:val="0"/>
                      <w:color w:val="595959"/>
                      <w:spacing w:val="0"/>
                      <w:sz w:val="19"/>
                    </w:rPr>
                    <w:t>Checks her score on a free app but has never disputed an item</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Reach her lender's minimum score within three months</w:t>
                  </w:r>
                </w:p>
                <w:p>
                  <w:pPr>
                    <w:pStyle w:val="ListBullet"/>
                    <w:spacing w:before="0" w:after="57" w:line="282" w:lineRule="exact"/>
                    <w:ind w:left="283" w:hanging="266"/>
                    <w:rPr>
                      <w:sz w:val="19"/>
                      <w:szCs w:val="19"/>
                    </w:rPr>
                  </w:pPr>
                  <w:r>
                    <w:rPr>
                      <w:rFonts w:ascii="Roboto" w:hAnsi="Roboto" w:cs="Roboto"/>
                      <w:b w:val="0"/>
                      <w:i w:val="0"/>
                      <w:color w:val="595959"/>
                      <w:spacing w:val="0"/>
                      <w:sz w:val="19"/>
                    </w:rPr>
                    <w:t>Buy a home before her lease renews next summer</w:t>
                  </w:r>
                </w:p>
                <w:p>
                  <w:pPr>
                    <w:pStyle w:val="ListBullet"/>
                    <w:spacing w:before="0" w:after="57" w:line="282" w:lineRule="exact"/>
                    <w:ind w:left="283" w:hanging="266"/>
                    <w:rPr>
                      <w:sz w:val="19"/>
                      <w:szCs w:val="19"/>
                    </w:rPr>
                  </w:pPr>
                  <w:r>
                    <w:rPr>
                      <w:rFonts w:ascii="Roboto" w:hAnsi="Roboto" w:cs="Roboto"/>
                      <w:b w:val="0"/>
                      <w:i w:val="0"/>
                      <w:color w:val="595959"/>
                      <w:spacing w:val="0"/>
                      <w:sz w:val="19"/>
                    </w:rPr>
                    <w:t>Understand which items she can dispute and which she must wait out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Little time on weekdays to write letters or chase bureaus</w:t>
                  </w:r>
                </w:p>
                <w:p>
                  <w:pPr>
                    <w:pStyle w:val="ListBullet"/>
                    <w:spacing w:before="0" w:after="57" w:line="282" w:lineRule="exact"/>
                    <w:ind w:left="283" w:hanging="266"/>
                    <w:rPr>
                      <w:sz w:val="19"/>
                      <w:szCs w:val="19"/>
                    </w:rPr>
                  </w:pPr>
                  <w:r>
                    <w:rPr>
                      <w:rFonts w:ascii="Roboto" w:hAnsi="Roboto" w:cs="Roboto"/>
                      <w:b w:val="0"/>
                      <w:i w:val="0"/>
                      <w:color w:val="595959"/>
                      <w:spacing w:val="0"/>
                      <w:sz w:val="19"/>
                    </w:rPr>
                    <w:t>Wary of firms that ask for money before doing anything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Unsure which of her negative items are actually inaccurate</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Most journeys start with a denial. The applicant either searches for help that evening or is handed Bluecrest's details by the loan officer who turned them down. From there the path runs through five steps.</w:t>
      </w:r>
    </w:p>
    <w:p>
      <w:pPr>
        <w:pStyle w:val="ListBullet"/>
      </w:pPr>
      <w:r>
        <w:rPr>
          <w:rFonts w:ascii="Roboto Bold" w:hAnsi="Roboto Bold" w:eastAsia="Roboto Bold" w:cs="Roboto Bold"/>
          <w:b w:val="0"/>
          <w:i w:val="0"/>
        </w:rPr>
        <w:t>Free review:</w:t>
      </w:r>
      <w:r>
        <w:rPr>
          <w:b w:val="0"/>
          <w:i w:val="0"/>
        </w:rPr>
        <w:t xml:space="preserve"> a 30-minute call on the reports the client already has, and an honest view of what can and cannot be challenged.</w:t>
      </w:r>
    </w:p>
    <w:p>
      <w:pPr>
        <w:pStyle w:val="ListBullet"/>
      </w:pPr>
      <w:r>
        <w:rPr>
          <w:rFonts w:ascii="Roboto Bold" w:hAnsi="Roboto Bold" w:eastAsia="Roboto Bold" w:cs="Roboto Bold"/>
          <w:b w:val="0"/>
          <w:i w:val="0"/>
        </w:rPr>
        <w:t>Disclosures and contract:</w:t>
      </w:r>
      <w:r>
        <w:rPr>
          <w:b w:val="0"/>
          <w:i w:val="0"/>
        </w:rPr>
        <w:t xml:space="preserve"> the federal and Texas disclosure statements, a written contract and a three-day cancellation window, all signed in the portal.</w:t>
      </w:r>
    </w:p>
    <w:p>
      <w:pPr>
        <w:pStyle w:val="ListBullet"/>
      </w:pPr>
      <w:r>
        <w:rPr>
          <w:rFonts w:ascii="Roboto Bold" w:hAnsi="Roboto Bold" w:eastAsia="Roboto Bold" w:cs="Roboto Bold"/>
          <w:b w:val="0"/>
          <w:i w:val="0"/>
        </w:rPr>
        <w:t>Audit and first round:</w:t>
      </w:r>
      <w:r>
        <w:rPr>
          <w:b w:val="0"/>
          <w:i w:val="0"/>
        </w:rPr>
        <w:t xml:space="preserve"> a three-bureau audit, then the first disputes and creditor letters go out.</w:t>
      </w:r>
    </w:p>
    <w:p>
      <w:pPr>
        <w:pStyle w:val="ListBullet"/>
      </w:pPr>
      <w:r>
        <w:rPr>
          <w:rFonts w:ascii="Roboto Bold" w:hAnsi="Roboto Bold" w:eastAsia="Roboto Bold" w:cs="Roboto Bold"/>
          <w:b w:val="0"/>
          <w:i w:val="0"/>
        </w:rPr>
        <w:t>Monthly results:</w:t>
      </w:r>
      <w:r>
        <w:rPr>
          <w:b w:val="0"/>
          <w:i w:val="0"/>
        </w:rPr>
        <w:t xml:space="preserve"> after each bureau investigation, the specialist reports what changed and what the next round targets, and only then bills.</w:t>
      </w:r>
    </w:p>
    <w:p>
      <w:pPr>
        <w:pStyle w:val="ListBullet"/>
        <w:spacing w:after="227"/>
      </w:pPr>
      <w:r>
        <w:rPr>
          <w:rFonts w:ascii="Roboto Bold" w:hAnsi="Roboto Bold" w:eastAsia="Roboto Bold" w:cs="Roboto Bold"/>
          <w:b w:val="0"/>
          <w:i w:val="0"/>
        </w:rPr>
        <w:t>Finish and refer:</w:t>
      </w:r>
      <w:r>
        <w:rPr>
          <w:b w:val="0"/>
          <w:i w:val="0"/>
        </w:rPr>
        <w:t xml:space="preserve"> the client leaves with a plan for keeping the score, and is asked for a review and a referral.</w:t>
      </w:r>
    </w:p>
    <w:p>
      <w:r>
        <w:rPr>
          <w:b w:val="0"/>
          <w:i w:val="0"/>
        </w:rPr>
        <w:t>The point of greatest doubt is the first payment. Clients who have heard about firms charging for months with nothing to show for it decide quickly whether to trust Bluecrest, so being billed only after results are reported does as much selling as any advertisement does.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Bluecrest competes in a fragmented trade of 27,304 US businesses, most of them small, and no published count exists of the firms registered in Texas. Its competition falls into four groups.</w:t>
      </w:r>
    </w:p>
    <w:p>
      <w:pPr>
        <w:pStyle w:val="ListBullet"/>
      </w:pPr>
      <w:r>
        <w:rPr>
          <w:rFonts w:ascii="Roboto Bold" w:hAnsi="Roboto Bold" w:eastAsia="Roboto Bold" w:cs="Roboto Bold"/>
          <w:b w:val="0"/>
          <w:i w:val="0"/>
        </w:rPr>
        <w:t>National online firms:</w:t>
      </w:r>
      <w:r>
        <w:rPr>
          <w:b w:val="0"/>
          <w:i w:val="0"/>
        </w:rPr>
        <w:t xml:space="preserve"> Credit Saint, The Credit Pros, Sky Blue and The Credit People sell statewide at $69 to $149 a month with first work fees of $19 to $195, mostly through call centers and online sign-up.</w:t>
      </w:r>
    </w:p>
    <w:p>
      <w:pPr>
        <w:pStyle w:val="ListBullet"/>
      </w:pPr>
      <w:r>
        <w:rPr>
          <w:rFonts w:ascii="Roboto Bold" w:hAnsi="Roboto Bold" w:eastAsia="Roboto Bold" w:cs="Roboto Bold"/>
          <w:b w:val="0"/>
          <w:i w:val="0"/>
        </w:rPr>
        <w:t>Local Dallas firms:</w:t>
      </w:r>
      <w:r>
        <w:rPr>
          <w:b w:val="0"/>
          <w:i w:val="0"/>
        </w:rPr>
        <w:t xml:space="preserve"> MSI Credit Solutions charges $98 a month plus a $30 processing fee, and Credit Texan sells tiered dispute programs through its own client portal without publishing prices.</w:t>
      </w:r>
    </w:p>
    <w:p>
      <w:pPr>
        <w:pStyle w:val="ListBullet"/>
      </w:pPr>
      <w:r>
        <w:rPr>
          <w:rFonts w:ascii="Roboto Bold" w:hAnsi="Roboto Bold" w:eastAsia="Roboto Bold" w:cs="Roboto Bold"/>
          <w:b w:val="0"/>
          <w:i w:val="0"/>
        </w:rPr>
        <w:t>Nonprofit counselors:</w:t>
      </w:r>
      <w:r>
        <w:rPr>
          <w:b w:val="0"/>
          <w:i w:val="0"/>
        </w:rPr>
        <w:t xml:space="preserve"> Money Management International offers free counseling and debt management plans across Texas, and suits clients whose problem is unpaid debt rather than errors.</w:t>
      </w:r>
    </w:p>
    <w:p>
      <w:pPr>
        <w:pStyle w:val="ListBullet"/>
        <w:spacing w:after="227"/>
      </w:pPr>
      <w:r>
        <w:rPr>
          <w:rFonts w:ascii="Roboto Bold" w:hAnsi="Roboto Bold" w:eastAsia="Roboto Bold" w:cs="Roboto Bold"/>
          <w:b w:val="0"/>
          <w:i w:val="0"/>
        </w:rPr>
        <w:t>Doing it alone:</w:t>
      </w:r>
      <w:r>
        <w:rPr>
          <w:b w:val="0"/>
          <w:i w:val="0"/>
        </w:rPr>
        <w:t xml:space="preserve"> any consumer can pull free reports and dispute errors directly, which is the alternative every paid firm has to beat.</w:t>
      </w:r>
    </w:p>
    <w:p>
      <w:r>
        <w:rPr>
          <w:b w:val="0"/>
          <w:i w:val="0"/>
        </w:rPr>
        <w:t>Price does not separate the paid firms much: most cluster near $99 a month. What separates them is how they sell, how they dispute and whether a client ever speaks to the same person twice.</w:t>
      </w:r>
    </w:p>
    <w:p>
      <w:bookmarkStart w:id="30" w:name="toc_5_2"/>
      <w:pPr>
        <w:pStyle w:val="Heading2"/>
      </w:pPr>
      <w:r>
        <w:t xml:space="preserve">5.2  </w:t>
      </w:r>
      <w:r>
        <w:t>Comparison</w:t>
      </w:r>
      <w:bookmarkEnd w:id="30"/>
    </w:p>
    <w:p>
      <w:r>
        <w:rPr>
          <w:b w:val="0"/>
          <w:i w:val="0"/>
        </w:rPr>
        <w:t>The table compares Bluecrest with each group on the points a referred client or a loan officer actually asks about. National firms win on brand recognition and scale; local firms on being nearby; nonprofits on cost and on debt management plans, which Bluecrest does not offer and refers out instead.</w:t>
      </w:r>
    </w:p>
    <w:p>
      <w:r>
        <w:rPr>
          <w:b w:val="0"/>
          <w:i w:val="0"/>
        </w:rPr>
        <w:t>Bluecrest's distinct rows are the fixed-fee readiness program and the progress shared with the referring loan officer. No category of competitor builds its service around the lender's denial in that way, and that is where its referrals come from.</w:t>
      </w:r>
    </w:p>
    <w:p>
      <w:r>
        <w:rPr>
          <w:b w:val="0"/>
          <w:i w:val="0"/>
        </w:rPr>
        <w:t>On price, Bluecrest does not try to undercut. Its restoration program sits level with the Dallas firm and in the middle of the national range, and its onboarding fee is charged once, after the first round, the way the national firms bill a first work fee. A client choosing on cost alone has the nonprofit route, free at intake, or the do-it-yourself route, which costs only time.</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692"/>
        <w:gridCol w:w="1114"/>
        <w:gridCol w:w="1884"/>
        <w:gridCol w:w="1641"/>
        <w:gridCol w:w="1952"/>
      </w:tblGrid>
      <w:tr>
        <w:trPr>
          <w:cantSplit/>
          <w:tblHeader/>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Bluecrest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National online firms</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Local Dallas firms</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Nonprofit counselors</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Fixed-fee mortgage readiness program</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Named specialist and a monthly coaching call</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Progress shared with the referring loan officer</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Billed only after each month's work</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Secure online client portal</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69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Debt management plans with creditors</w:t>
            </w:r>
          </w:p>
        </w:tc>
        <w:tc>
          <w:tcPr>
            <w:tcW w:type="dxa" w:w="111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4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The edge rests on three things that are hard for a large firm to copy quickly. The founder reads a file the way an underwriter does, so the work targets the items that decided the denial rather than every negative line. Disputes carry evidence, which bureaus must investigate rather than set aside as frivolous. And the firm is small enough for every client to have one specialist from audit to final round.</w:t>
      </w:r>
    </w:p>
    <w:p>
      <w:r>
        <w:rPr>
          <w:b w:val="0"/>
          <w:i w:val="0"/>
        </w:rPr>
        <w:t>Two of the four groups compete for the same referral relationships. Local Dallas firms can call on the same loan officers, and Bluecrest's answer is to be easier to work with: a consent form that lets a partner see progress, a day-90 summary written in a lender's terms, and a named contact who answers the phone. National firms rarely court individual loan officers, which leaves the lender channel more open than consumer search, where their advertising budgets dominate.</w:t>
      </w:r>
    </w:p>
    <w:p>
      <w:r>
        <w:rPr>
          <w:b w:val="0"/>
          <w:i w:val="0"/>
        </w:rPr>
        <w:t>The edge is narrower than it looks against the do-it-yourself route, since a determined consumer can do much of this for free. Bluecrest has to justify its fee with speed, judgment and the lender relationship, not with access to anything a consumer cannot reach.</w:t>
      </w:r>
    </w:p>
    <w:p>
      <w:r>
        <w:rPr>
          <w:b w:val="0"/>
          <w:i w:val="0"/>
        </w:rPr>
        <w:t>The edge would erode if a national firm built a lender program of its own, or if lenders began sending declined applicants straight to nonprofit counselors. The protection against both is the relationship itself: a loan officer who has seen their own applicants come back approved has a reason to keep referring that no advertising budget can buy.</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4" name="Picture 902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Around the Mortgage Decision</w:t>
                  </w:r>
                </w:p>
                <w:p>
                  <w:pPr>
                    <w:spacing w:before="0" w:after="0" w:line="284" w:lineRule="exact"/>
                  </w:pPr>
                  <w:r>
                    <w:rPr>
                      <w:rFonts w:ascii="Roboto" w:hAnsi="Roboto" w:cs="Roboto"/>
                      <w:b w:val="0"/>
                      <w:i w:val="0"/>
                      <w:color w:val="0A0A0A"/>
                      <w:spacing w:val="0"/>
                      <w:sz w:val="19"/>
                    </w:rPr>
                    <w:t>The readiness program starts from the lender's own denial reasons and works toward the score that loan program needs, so a referral arrives with a target rather than a vague wish to improve.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Specialist per Client</w:t>
                  </w:r>
                </w:p>
                <w:p>
                  <w:pPr>
                    <w:spacing w:before="0" w:after="0" w:line="284" w:lineRule="exact"/>
                  </w:pPr>
                  <w:r>
                    <w:rPr>
                      <w:rFonts w:ascii="Roboto" w:hAnsi="Roboto" w:cs="Roboto"/>
                      <w:b w:val="0"/>
                      <w:i w:val="0"/>
                      <w:color w:val="0A0A0A"/>
                      <w:spacing w:val="0"/>
                      <w:sz w:val="19"/>
                    </w:rPr>
                    <w:t>Every client keeps the same dispute specialist from audit to final round, and speaks with that person each month instead of a rotating call center queue.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Disputes Written Item by Item</w:t>
                  </w:r>
                </w:p>
                <w:p>
                  <w:pPr>
                    <w:spacing w:before="0" w:after="0" w:line="284" w:lineRule="exact"/>
                  </w:pPr>
                  <w:r>
                    <w:rPr>
                      <w:rFonts w:ascii="Roboto" w:hAnsi="Roboto" w:cs="Roboto"/>
                      <w:b w:val="0"/>
                      <w:i w:val="0"/>
                      <w:color w:val="0A0A0A"/>
                      <w:spacing w:val="0"/>
                      <w:sz w:val="19"/>
                    </w:rPr>
                    <w:t>Each dispute names the specific error and attaches the client's evidence, which bureaus must investigate, rather than a template letter they can set aside as frivolous.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Compliance Visible from Day One</w:t>
                  </w:r>
                </w:p>
                <w:p>
                  <w:pPr>
                    <w:spacing w:before="0" w:after="0" w:line="284" w:lineRule="exact"/>
                  </w:pPr>
                  <w:r>
                    <w:rPr>
                      <w:rFonts w:ascii="Roboto" w:hAnsi="Roboto" w:cs="Roboto"/>
                      <w:b w:val="0"/>
                      <w:i w:val="0"/>
                      <w:color w:val="0A0A0A"/>
                      <w:spacing w:val="0"/>
                      <w:sz w:val="19"/>
                    </w:rPr>
                    <w:t>The Texas registration, the $10,000 bond and both the federal and state disclosures are shown before signing, and no fee is charged until that month's work is done.</w:t>
                  </w:r>
                </w:p>
              </w:tc>
            </w:tr>
          </w:tbl>
          <w:p>
            <w:pPr>
              <w:spacing w:before="0" w:after="0" w:line="20" w:lineRule="exact"/>
            </w:p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fixed-fee readiness program gives loan officers a defined product to refer, not a vague credit repair pitch.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Item-by-item disputes with evidence attached are harder for bureaus to dismiss than template letters.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Low fixed costs: a small office suite, software priced per client and no stock to carry.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Billing only after each month's work meets federal and Texas law and removes the main reason clients complain.</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firm with no client results, reviews or referral history to show partners at launch.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Revenue depends on two people in year one, so illness or turnover slows every client's file.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Accurate negative items cannot lawfully be removed, which caps results for clients with genuine late payments.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Client tenure of three to six months means the book must be refilled constantly.</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32.9% of Texans with a credit record carry debt in collections, against 22.7% nationally.</w:t>
            </w:r>
          </w:p>
          <w:p>
            <w:pPr>
              <w:pStyle w:val="ListBullet"/>
              <w:spacing w:before="62" w:after="0" w:line="290" w:lineRule="exact"/>
              <w:ind w:left="283" w:hanging="266"/>
              <w:rPr>
                <w:color w:val="FFFFFF"/>
              </w:rPr>
            </w:pPr>
            <w:r>
              <w:rPr>
                <w:rFonts w:ascii="Roboto" w:hAnsi="Roboto" w:cs="Roboto"/>
                <w:b w:val="0"/>
                <w:i w:val="0"/>
                <w:color w:val="FFFFFF"/>
                <w:spacing w:val="0"/>
                <w:sz w:val="20"/>
              </w:rPr>
              <w:t>Credit history was cited in 4,686 Dallas-Fort Worth home purchase denials in 2025.</w:t>
            </w:r>
          </w:p>
          <w:p>
            <w:pPr>
              <w:pStyle w:val="ListBullet"/>
              <w:spacing w:before="62" w:after="0" w:line="290" w:lineRule="exact"/>
              <w:ind w:left="283" w:hanging="266"/>
              <w:rPr>
                <w:color w:val="FFFFFF"/>
              </w:rPr>
            </w:pPr>
            <w:r>
              <w:rPr>
                <w:rFonts w:ascii="Roboto" w:hAnsi="Roboto" w:cs="Roboto"/>
                <w:b w:val="0"/>
                <w:i w:val="0"/>
                <w:color w:val="FFFFFF"/>
                <w:spacing w:val="0"/>
                <w:sz w:val="20"/>
              </w:rPr>
              <w:t>44,838 licensed real estate agents in four DFW counties are potential referral partners.</w:t>
            </w:r>
          </w:p>
          <w:p>
            <w:pPr>
              <w:pStyle w:val="ListBullet"/>
              <w:spacing w:before="62" w:after="0" w:line="290" w:lineRule="exact"/>
              <w:ind w:left="283" w:hanging="266"/>
              <w:rPr>
                <w:color w:val="FFFFFF"/>
              </w:rPr>
            </w:pPr>
            <w:r>
              <w:rPr>
                <w:rFonts w:ascii="Roboto" w:hAnsi="Roboto" w:cs="Roboto"/>
                <w:b w:val="0"/>
                <w:i w:val="0"/>
                <w:color w:val="FFFFFF"/>
                <w:spacing w:val="0"/>
                <w:sz w:val="20"/>
              </w:rPr>
              <w:t>The industry's largest national brands left the market after the 2023 CFPB judgment.</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Free weekly credit reports and do-it-yourself disputes undercut the case for paying a firm.</w:t>
            </w:r>
          </w:p>
          <w:p>
            <w:pPr>
              <w:pStyle w:val="ListBullet"/>
              <w:spacing w:before="62" w:after="0" w:line="290" w:lineRule="exact"/>
              <w:ind w:left="283" w:hanging="266"/>
              <w:rPr>
                <w:color w:val="FFFFFF"/>
              </w:rPr>
            </w:pPr>
            <w:r>
              <w:rPr>
                <w:rFonts w:ascii="Roboto" w:hAnsi="Roboto" w:cs="Roboto"/>
                <w:b w:val="0"/>
                <w:i w:val="0"/>
                <w:color w:val="FFFFFF"/>
                <w:spacing w:val="0"/>
                <w:sz w:val="20"/>
              </w:rPr>
              <w:t>Regulators are watching credit repair closely, and complaints about the trade raise every firm's scrutiny.</w:t>
            </w:r>
          </w:p>
          <w:p>
            <w:pPr>
              <w:pStyle w:val="ListBullet"/>
              <w:spacing w:before="62" w:after="0" w:line="290" w:lineRule="exact"/>
              <w:ind w:left="283" w:hanging="266"/>
              <w:rPr>
                <w:color w:val="FFFFFF"/>
              </w:rPr>
            </w:pPr>
            <w:r>
              <w:rPr>
                <w:rFonts w:ascii="Roboto" w:hAnsi="Roboto" w:cs="Roboto"/>
                <w:b w:val="0"/>
                <w:i w:val="0"/>
                <w:color w:val="FFFFFF"/>
                <w:spacing w:val="0"/>
                <w:sz w:val="20"/>
              </w:rPr>
              <w:t>Falling interest rates can ease household debt stress, and IBISWorld calls demand countercyclical.</w:t>
            </w:r>
          </w:p>
          <w:p>
            <w:pPr>
              <w:pStyle w:val="ListBullet"/>
              <w:spacing w:before="62" w:after="0" w:line="290" w:lineRule="exact"/>
              <w:ind w:left="283" w:hanging="266"/>
              <w:rPr>
                <w:color w:val="FFFFFF"/>
              </w:rPr>
            </w:pPr>
            <w:r>
              <w:rPr>
                <w:rFonts w:ascii="Roboto" w:hAnsi="Roboto" w:cs="Roboto"/>
                <w:b w:val="0"/>
                <w:i w:val="0"/>
                <w:color w:val="FFFFFF"/>
                <w:spacing w:val="0"/>
                <w:sz w:val="20"/>
              </w:rPr>
              <w:t>Lenders loosening score minimums, as Fannie Mae did in 2025, narrows the gap some clients need closed.</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Bluecrest should win referrals by giving lenders and agents a defined, compliant program with a clear finish line. It should grow the book through partners rather than paid volume, since tenure is short and trust is the scarce asset.</w:t>
            </w:r>
          </w:p>
        </w:tc>
      </w:tr>
    </w:tbl>
    <w:p>
      <w:pPr>
        <w:keepLines/>
        <w:spacing w:before="200" w:after="0" w:line="240" w:lineRule="auto"/>
      </w:pPr>
      <w:hyperlink r:id="rId42">
        <w:r>
          <w:drawing>
            <wp:inline xmlns:a="http://schemas.openxmlformats.org/drawingml/2006/main" xmlns:pic="http://schemas.openxmlformats.org/drawingml/2006/picture">
              <wp:extent cx="6530399" cy="528636"/>
              <wp:docPr id="9029" name="Picture 9029"/>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33" w:name="toc_6"/>
      <w:pPr>
        <w:pStyle w:val="Heading1"/>
        <w:spacing w:before="440" w:after="200"/>
      </w:pPr>
      <w:r>
        <w:t>Services Offered</w:t>
      </w:r>
      <w:bookmarkEnd w:id="33"/>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Dispute Process &amp; Timeline</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0" name="Picture 903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Bluecrest sells credit repair as a service with a clear scope: find what is wrong on a client's three credit reports, challenge it through the channels the law provides, and coach the client on the habits that keep a score rising afterward. It does not promise to remove accurate information, and it says so before a contract is signed.</w:t>
      </w:r>
    </w:p>
    <w:p>
      <w:r>
        <w:rPr>
          <w:b w:val="0"/>
          <w:i w:val="0"/>
        </w:rPr>
        <w:t>The work is delivered remotely across Texas. Clients sign up, upload documents and follow each disputed item in a secure portal, and speak with their specialist by phone or video each month.</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The firm's two programs serve different moments. The credit restoration program is open-ended and billed monthly, for clients repairing a file over three to six months. The mortgage readiness program runs for a fixed 90 days at a fixed price, for clients with a lender and a target score already in view.</w:t>
      </w:r>
    </w:p>
    <w:p>
      <w:bookmarkStart w:id="36" w:name="toc_6_3"/>
      <w:pPr>
        <w:pStyle w:val="Heading2"/>
      </w:pPr>
      <w:r>
        <w:t xml:space="preserve">6.3  </w:t>
      </w:r>
      <w:r>
        <w:t>Additional Services</w:t>
      </w:r>
      <w:bookmarkEnd w:id="36"/>
    </w:p>
    <w:p>
      <w:pPr>
        <w:pStyle w:val="ListBullet"/>
      </w:pPr>
      <w:r>
        <w:rPr>
          <w:rFonts w:ascii="Roboto Bold" w:hAnsi="Roboto Bold" w:eastAsia="Roboto Bold" w:cs="Roboto Bold"/>
          <w:b w:val="0"/>
          <w:i w:val="0"/>
        </w:rPr>
        <w:t>Couples plan:</w:t>
      </w:r>
      <w:r>
        <w:rPr>
          <w:b w:val="0"/>
          <w:i w:val="0"/>
        </w:rPr>
        <w:t xml:space="preserve"> two people on one monthly plan, with joint accounts reviewed once for both files before a joint application.</w:t>
      </w:r>
    </w:p>
    <w:p>
      <w:pPr>
        <w:pStyle w:val="ListBullet"/>
      </w:pPr>
      <w:r>
        <w:rPr>
          <w:rFonts w:ascii="Roboto Bold" w:hAnsi="Roboto Bold" w:eastAsia="Roboto Bold" w:cs="Roboto Bold"/>
          <w:b w:val="0"/>
          <w:i w:val="0"/>
        </w:rPr>
        <w:t>Free credit review:</w:t>
      </w:r>
      <w:r>
        <w:rPr>
          <w:b w:val="0"/>
          <w:i w:val="0"/>
        </w:rPr>
        <w:t xml:space="preserve"> a 30-minute consultation on the reports a prospective client already holds, with no obligation to enroll.</w:t>
      </w:r>
    </w:p>
    <w:p>
      <w:pPr>
        <w:pStyle w:val="ListBullet"/>
      </w:pPr>
      <w:r>
        <w:rPr>
          <w:rFonts w:ascii="Roboto Bold" w:hAnsi="Roboto Bold" w:eastAsia="Roboto Bold" w:cs="Roboto Bold"/>
          <w:b w:val="0"/>
          <w:i w:val="0"/>
        </w:rPr>
        <w:t>Homebuyer workshops:</w:t>
      </w:r>
      <w:r>
        <w:rPr>
          <w:b w:val="0"/>
          <w:i w:val="0"/>
        </w:rPr>
        <w:t xml:space="preserve"> free group sessions on credit readiness, run with lenders and first-time buyer programs.</w:t>
      </w:r>
    </w:p>
    <w:p>
      <w:pPr>
        <w:pStyle w:val="ListBullet"/>
      </w:pPr>
      <w:r>
        <w:rPr>
          <w:rFonts w:ascii="Roboto Bold" w:hAnsi="Roboto Bold" w:eastAsia="Roboto Bold" w:cs="Roboto Bold"/>
          <w:b w:val="0"/>
          <w:i w:val="0"/>
        </w:rPr>
        <w:t>Identity theft cleanup:</w:t>
      </w:r>
      <w:r>
        <w:rPr>
          <w:b w:val="0"/>
          <w:i w:val="0"/>
        </w:rPr>
        <w:t xml:space="preserve"> for files carrying accounts the client never opened, Bluecrest helps the client file an identity theft report and asks each bureau to block the fraudulent accounts.</w:t>
      </w:r>
    </w:p>
    <w:p>
      <w:pPr>
        <w:pStyle w:val="ListBullet"/>
        <w:spacing w:after="227"/>
      </w:pPr>
      <w:r>
        <w:rPr>
          <w:rFonts w:ascii="Roboto Bold" w:hAnsi="Roboto Bold" w:eastAsia="Roboto Bold" w:cs="Roboto Bold"/>
          <w:b w:val="0"/>
          <w:i w:val="0"/>
        </w:rPr>
        <w:t>Referral out:</w:t>
      </w:r>
      <w:r>
        <w:rPr>
          <w:b w:val="0"/>
          <w:i w:val="0"/>
        </w:rPr>
        <w:t xml:space="preserve"> clients whose problem is unpaid debt rather than errors are sent to nonprofit counseling for a debt management plan.</w:t>
      </w:r>
    </w:p>
    <w:p>
      <w:bookmarkStart w:id="37" w:name="toc_6_4"/>
      <w:pPr>
        <w:pStyle w:val="Heading2"/>
      </w:pPr>
      <w:r>
        <w:t xml:space="preserve">6.4  </w:t>
      </w:r>
      <w:r>
        <w:t>What Sets Us Apart</w:t>
      </w:r>
      <w:bookmarkEnd w:id="37"/>
    </w:p>
    <w:p>
      <w:r>
        <w:rPr>
          <w:b w:val="0"/>
          <w:i w:val="0"/>
        </w:rPr>
        <w:t>Most firms in this trade sell a monthly subscription and leave the client to judge whether it is working. Bluecrest reports what each round changed before it bills for it, keeps the same specialist on a file throughout, and builds its readiness program around the lender's own reasons for saying no. Prices sit in the middle of the market, so the choice is made on method rather than on cost.</w:t>
      </w:r>
    </w:p>
    <w:p>
      <w:r>
        <w:rPr>
          <w:b w:val="0"/>
          <w:i w:val="0"/>
        </w:rPr>
        <w:t>Results are reported in the client's own terms. Each monthly report lists every disputed item, the answer it drew, the change in each of the three scores and what the next round will target, so a client can judge the work before paying for it. Items that are accurate and current are named as such on the first report, with the date each will age off, so nobody pays month after month for disputes that cannot succeed.</w:t>
      </w:r>
    </w:p>
    <w:p>
      <w:bookmarkStart w:id="38" w:name="toc_6_5"/>
      <w:pPr>
        <w:pStyle w:val="Heading2"/>
      </w:pPr>
      <w:r>
        <w:t xml:space="preserve">6.5  </w:t>
      </w:r>
      <w:r>
        <w:t>Dispute Process &amp; Timeline</w:t>
      </w:r>
      <w:bookmarkEnd w:id="38"/>
    </w:p>
    <w:p>
      <w:r>
        <w:rPr>
          <w:b w:val="0"/>
          <w:i w:val="0"/>
        </w:rPr>
        <w:t>Credit repair runs on the bureaus' investigation clock. Under the Fair Credit Reporting Act a bureau has 30 days to reinvestigate a disputed item, up to 45 if the consumer adds information, and must delete or correct anything inaccurate or unverifiable. Bluecrest times its work to that cycle.</w:t>
      </w:r>
    </w:p>
    <w:p>
      <w:pPr>
        <w:pStyle w:val="ListBullet"/>
      </w:pPr>
      <w:r>
        <w:rPr>
          <w:b w:val="0"/>
          <w:i w:val="0"/>
        </w:rPr>
        <w:t>Days 1 to 5: three-bureau audit, then the first dispute round to the bureaus with the client's evidence, and validation requests to creditors.</w:t>
      </w:r>
    </w:p>
    <w:p>
      <w:pPr>
        <w:pStyle w:val="ListBullet"/>
      </w:pPr>
      <w:r>
        <w:rPr>
          <w:b w:val="0"/>
          <w:i w:val="0"/>
        </w:rPr>
        <w:t>Days 30 to 45: bureau results arrive; the specialist reviews every response with the client and bills for that month.</w:t>
      </w:r>
    </w:p>
    <w:p>
      <w:pPr>
        <w:pStyle w:val="ListBullet"/>
      </w:pPr>
      <w:r>
        <w:rPr>
          <w:b w:val="0"/>
          <w:i w:val="0"/>
        </w:rPr>
        <w:t>Months 2 to 3: second and third rounds on items still reported, goodwill letters for isolated late payments, and escalations to creditors.</w:t>
      </w:r>
    </w:p>
    <w:p>
      <w:pPr>
        <w:pStyle w:val="ListBullet"/>
        <w:spacing w:after="227"/>
      </w:pPr>
      <w:r>
        <w:rPr>
          <w:b w:val="0"/>
          <w:i w:val="0"/>
        </w:rPr>
        <w:t>Months 4 to 6: final rounds where needed, then a closing review and a plan for the client to keep the score.</w:t>
      </w:r>
    </w:p>
    <w:p>
      <w:r>
        <w:rPr>
          <w:b w:val="0"/>
          <w:i w:val="0"/>
        </w:rPr>
        <w:t>Texas law caps the contract's estimated performance period at 180 days, and Bluecrest plans every file to finish inside it. The readiness program compresses the same steps into three rounds over 90 days, with an update to the referring loan officer after each one.</w:t>
      </w:r>
    </w:p>
    <w:p>
      <w:r>
        <w:rPr>
          <w:b w:val="0"/>
          <w:i w:val="0"/>
        </w:rPr>
        <w:t>The client has a part to play too. Bureaus answer faster and more fully when a dispute carries proof, so each client uploads the statements, letters and payment records the specialist asks for within a week of each request, and keeps every account current while the program runs. A new late payment during a program can undo months of corrections, which is why the coaching call covers the next month's due dates as well as the last month's results.</w:t>
      </w:r>
    </w:p>
    <w:p>
      <w:bookmarkStart w:id="39" w:name="toc_6_5_1"/>
      <w:pPr>
        <w:pStyle w:val="Heading2"/>
      </w:pPr>
      <w:r>
        <w:t xml:space="preserve">6.5.1  </w:t>
      </w:r>
      <w:r>
        <w:t>Credit Restoration Program</w:t>
      </w:r>
      <w:bookmarkEnd w:id="39"/>
    </w:p>
    <w:p>
      <w:r>
        <w:rPr>
          <w:b w:val="0"/>
          <w:i w:val="0"/>
        </w:rPr>
        <w:t>A monthly program for anyone whose reports carry errors, outdated items or unverifiable collections. Bluecrest audits all three reports, disputes each inaccurate item with evidence, and coaches the client on the payment and balance habits that move a score.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1" name="Picture 9031"/>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$99 per month</w:t>
            </w:r>
          </w:p>
          <w:p>
            <w:pPr>
              <w:spacing w:after="0" w:line="308" w:lineRule="exact"/>
            </w:pPr>
            <w:r>
              <w:rPr>
                <w:b w:val="0"/>
                <w:i w:val="0"/>
                <w:spacing w:val="0"/>
                <w:sz w:val="21"/>
              </w:rPr>
              <w:t>Billed after each month's work is done, with a $99 onboarding fee charged once after the first round of disputes. Clients can cancel at any time.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Three-bureau credit report audit at enrollment</w:t>
            </w:r>
          </w:p>
          <w:p>
            <w:pPr>
              <w:pStyle w:val="ListBullet"/>
              <w:spacing w:before="0" w:after="91" w:line="315" w:lineRule="exact"/>
              <w:ind w:left="283" w:hanging="198"/>
            </w:pPr>
            <w:r>
              <w:rPr>
                <w:rFonts w:ascii="Roboto" w:hAnsi="Roboto" w:cs="Roboto"/>
                <w:b w:val="0"/>
                <w:i w:val="0"/>
                <w:color w:val="0A0A0A"/>
                <w:spacing w:val="0"/>
                <w:sz w:val="21"/>
              </w:rPr>
              <w:t>One dispute round a month, timed to the bureaus' 30-day investigations</w:t>
            </w:r>
          </w:p>
          <w:p>
            <w:pPr>
              <w:pStyle w:val="ListBullet"/>
              <w:spacing w:before="0" w:after="91" w:line="315" w:lineRule="exact"/>
              <w:ind w:left="283" w:hanging="198"/>
            </w:pPr>
            <w:r>
              <w:rPr>
                <w:rFonts w:ascii="Roboto" w:hAnsi="Roboto" w:cs="Roboto"/>
                <w:b w:val="0"/>
                <w:i w:val="0"/>
                <w:color w:val="0A0A0A"/>
                <w:spacing w:val="0"/>
                <w:sz w:val="21"/>
              </w:rPr>
              <w:t>Debt validation and goodwill letters to creditors where they apply</w:t>
            </w:r>
          </w:p>
          <w:p>
            <w:pPr>
              <w:pStyle w:val="ListBullet"/>
              <w:spacing w:before="0" w:after="91" w:line="315" w:lineRule="exact"/>
              <w:ind w:left="283" w:hanging="198"/>
            </w:pPr>
            <w:r>
              <w:rPr>
                <w:rFonts w:ascii="Roboto" w:hAnsi="Roboto" w:cs="Roboto"/>
                <w:b w:val="0"/>
                <w:i w:val="0"/>
                <w:color w:val="0A0A0A"/>
                <w:spacing w:val="0"/>
                <w:sz w:val="21"/>
              </w:rPr>
              <w:t>Score and item tracking in a secure client portal</w:t>
            </w:r>
          </w:p>
          <w:p>
            <w:pPr>
              <w:pStyle w:val="ListBullet"/>
              <w:spacing w:before="0" w:after="0" w:line="315" w:lineRule="exact"/>
              <w:ind w:left="283" w:hanging="198"/>
            </w:pPr>
            <w:r>
              <w:rPr>
                <w:rFonts w:ascii="Roboto" w:hAnsi="Roboto" w:cs="Roboto"/>
                <w:b w:val="0"/>
                <w:i w:val="0"/>
                <w:color w:val="0A0A0A"/>
                <w:spacing w:val="0"/>
                <w:sz w:val="21"/>
              </w:rPr>
              <w:t>A monthly coaching call with the client's own specialist</w:t>
            </w:r>
          </w:p>
        </w:tc>
      </w:tr>
    </w:tbl>
    <w:p>
      <w:pPr>
        <w:spacing w:before="0" w:after="0" w:line="80" w:lineRule="exact"/>
      </w:pPr>
    </w:p>
    <w:p>
      <w:bookmarkStart w:id="40" w:name="toc_6_5_2"/>
      <w:pPr>
        <w:pStyle w:val="Heading2"/>
      </w:pPr>
      <w:r>
        <w:t xml:space="preserve">6.5.2  </w:t>
      </w:r>
      <w:r>
        <w:t>90-Day Mortgage Readiness Program</w:t>
      </w:r>
      <w:bookmarkEnd w:id="40"/>
    </w:p>
    <w:p>
      <w:r>
        <w:rPr>
          <w:b w:val="0"/>
          <w:i w:val="0"/>
        </w:rPr>
        <w:t>A fixed-length program for clients a loan officer or agent refers after a declined or delayed pre-approval. It starts from the lender's own denial reasons and works toward the score the loan program needs, then hands the client back with a readiness summary.</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$695 for the 90-day program</w:t>
            </w:r>
          </w:p>
          <w:p>
            <w:pPr>
              <w:spacing w:after="0" w:line="308" w:lineRule="exact"/>
            </w:pPr>
            <w:r>
              <w:rPr>
                <w:b w:val="0"/>
                <w:i w:val="0"/>
                <w:spacing w:val="0"/>
                <w:sz w:val="21"/>
              </w:rPr>
              <w:t>A fixed fee billed in three monthly installments, each after that month's work, so a client knows the full cost before signing.</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Starts from the lender's credit report and written denial reasons</w:t>
            </w:r>
          </w:p>
          <w:p>
            <w:pPr>
              <w:pStyle w:val="ListBullet"/>
              <w:spacing w:before="0" w:after="91" w:line="315" w:lineRule="exact"/>
              <w:ind w:left="283" w:hanging="198"/>
            </w:pPr>
            <w:r>
              <w:rPr>
                <w:rFonts w:ascii="Roboto" w:hAnsi="Roboto" w:cs="Roboto"/>
                <w:b w:val="0"/>
                <w:i w:val="0"/>
                <w:color w:val="0A0A0A"/>
                <w:spacing w:val="0"/>
                <w:sz w:val="21"/>
              </w:rPr>
              <w:t>A target score set against the loan program the client is applying for</w:t>
            </w:r>
          </w:p>
          <w:p>
            <w:pPr>
              <w:pStyle w:val="ListBullet"/>
              <w:spacing w:before="0" w:after="91" w:line="315" w:lineRule="exact"/>
              <w:ind w:left="283" w:hanging="198"/>
            </w:pPr>
            <w:r>
              <w:rPr>
                <w:rFonts w:ascii="Roboto" w:hAnsi="Roboto" w:cs="Roboto"/>
                <w:b w:val="0"/>
                <w:i w:val="0"/>
                <w:color w:val="0A0A0A"/>
                <w:spacing w:val="0"/>
                <w:sz w:val="21"/>
              </w:rPr>
              <w:t>Three dispute rounds plus a balance and payment plan</w:t>
            </w:r>
          </w:p>
          <w:p>
            <w:pPr>
              <w:pStyle w:val="ListBullet"/>
              <w:spacing w:before="0" w:after="91" w:line="315" w:lineRule="exact"/>
              <w:ind w:left="283" w:hanging="198"/>
            </w:pPr>
            <w:r>
              <w:rPr>
                <w:rFonts w:ascii="Roboto" w:hAnsi="Roboto" w:cs="Roboto"/>
                <w:b w:val="0"/>
                <w:i w:val="0"/>
                <w:color w:val="0A0A0A"/>
                <w:spacing w:val="0"/>
                <w:sz w:val="21"/>
              </w:rPr>
              <w:t>Progress updates to the referring loan officer with the client's written consent</w:t>
            </w:r>
          </w:p>
          <w:p>
            <w:pPr>
              <w:pStyle w:val="ListBullet"/>
              <w:spacing w:before="0" w:after="0" w:line="315" w:lineRule="exact"/>
              <w:ind w:left="283" w:hanging="198"/>
            </w:pPr>
            <w:r>
              <w:rPr>
                <w:rFonts w:ascii="Roboto" w:hAnsi="Roboto" w:cs="Roboto"/>
                <w:b w:val="0"/>
                <w:i w:val="0"/>
                <w:color w:val="0A0A0A"/>
                <w:spacing w:val="0"/>
                <w:sz w:val="21"/>
              </w:rPr>
              <w:t>A readiness summary for the lender at day 90</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Three-Bureau Audit</w:t>
                  </w:r>
                </w:p>
                <w:p>
                  <w:pPr>
                    <w:spacing w:before="0" w:after="0" w:line="284" w:lineRule="exact"/>
                  </w:pPr>
                  <w:r>
                    <w:rPr>
                      <w:rFonts w:ascii="Roboto" w:hAnsi="Roboto" w:cs="Roboto"/>
                      <w:b w:val="0"/>
                      <w:i w:val="0"/>
                      <w:color w:val="0A0A0A"/>
                      <w:spacing w:val="0"/>
                      <w:sz w:val="19"/>
                    </w:rPr>
                    <w:t>Every account, inquiry and public record on all three reports is checked for errors before any dispute is filed.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Evidence-Based Disputes</w:t>
                  </w:r>
                </w:p>
                <w:p>
                  <w:pPr>
                    <w:spacing w:before="0" w:after="0" w:line="284" w:lineRule="exact"/>
                  </w:pPr>
                  <w:r>
                    <w:rPr>
                      <w:rFonts w:ascii="Roboto" w:hAnsi="Roboto" w:cs="Roboto"/>
                      <w:b w:val="0"/>
                      <w:i w:val="0"/>
                      <w:color w:val="0A0A0A"/>
                      <w:spacing w:val="0"/>
                      <w:sz w:val="19"/>
                    </w:rPr>
                    <w:t>Each dispute names the specific inaccuracy and attaches the client's documents, so the bureau has to investigate it.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Creditor Correspondence</w:t>
                  </w:r>
                </w:p>
                <w:p>
                  <w:pPr>
                    <w:spacing w:before="0" w:after="0" w:line="284" w:lineRule="exact"/>
                  </w:pPr>
                  <w:r>
                    <w:rPr>
                      <w:rFonts w:ascii="Roboto" w:hAnsi="Roboto" w:cs="Roboto"/>
                      <w:b w:val="0"/>
                      <w:i w:val="0"/>
                      <w:color w:val="0A0A0A"/>
                      <w:spacing w:val="0"/>
                      <w:sz w:val="19"/>
                    </w:rPr>
                    <w:t>Debt validation requests and goodwill letters go straight to the creditors that report the items.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Client Portal</w:t>
                  </w:r>
                </w:p>
                <w:p>
                  <w:pPr>
                    <w:spacing w:before="0" w:after="0" w:line="284" w:lineRule="exact"/>
                  </w:pPr>
                  <w:r>
                    <w:rPr>
                      <w:rFonts w:ascii="Roboto" w:hAnsi="Roboto" w:cs="Roboto"/>
                      <w:b w:val="0"/>
                      <w:i w:val="0"/>
                      <w:color w:val="0A0A0A"/>
                      <w:spacing w:val="0"/>
                      <w:sz w:val="19"/>
                    </w:rPr>
                    <w:t>Clients upload documents, sign contracts and follow each item's status from a phone or laptop.</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Score Coaching</w:t>
                  </w:r>
                </w:p>
                <w:p>
                  <w:pPr>
                    <w:spacing w:before="0" w:after="0" w:line="284" w:lineRule="exact"/>
                  </w:pPr>
                  <w:r>
                    <w:rPr>
                      <w:rFonts w:ascii="Roboto" w:hAnsi="Roboto" w:cs="Roboto"/>
                      <w:b w:val="0"/>
                      <w:i w:val="0"/>
                      <w:color w:val="0A0A0A"/>
                      <w:spacing w:val="0"/>
                      <w:sz w:val="19"/>
                    </w:rPr>
                    <w:t>A monthly call covers utilization, payment timing and what to avoid before a loan application.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Lender Updates</w:t>
                  </w:r>
                </w:p>
                <w:p>
                  <w:pPr>
                    <w:spacing w:before="0" w:after="0" w:line="284" w:lineRule="exact"/>
                  </w:pPr>
                  <w:r>
                    <w:rPr>
                      <w:rFonts w:ascii="Roboto" w:hAnsi="Roboto" w:cs="Roboto"/>
                      <w:b w:val="0"/>
                      <w:i w:val="0"/>
                      <w:color w:val="0A0A0A"/>
                      <w:spacing w:val="0"/>
                      <w:sz w:val="19"/>
                    </w:rPr>
                    <w:t>With the client's written consent, the referring loan officer sees progress against the target score.</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Essentials</w:t>
            </w:r>
          </w:p>
          <w:p>
            <w:pPr>
              <w:spacing w:before="57" w:after="57" w:line="276" w:lineRule="auto"/>
              <w:jc w:val="center"/>
            </w:pPr>
            <w:r>
              <w:rPr>
                <w:rFonts w:ascii="Roboto Bold" w:hAnsi="Roboto Bold" w:cs="Roboto Bold" w:eastAsia="Roboto Bold"/>
                <w:b w:val="0"/>
                <w:i w:val="0"/>
                <w:color w:val="0A0A0A"/>
                <w:spacing w:val="0"/>
                <w:sz w:val="36"/>
              </w:rPr>
              <w:t>$79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Three-bureau audit at enrollment</w:t>
            </w:r>
          </w:p>
          <w:p>
            <w:pPr>
              <w:pStyle w:val="ListBullet"/>
              <w:spacing w:before="0" w:after="68" w:line="276" w:lineRule="auto"/>
              <w:ind w:left="283" w:hanging="198"/>
              <w:jc w:val="left"/>
            </w:pPr>
            <w:r>
              <w:rPr>
                <w:rFonts w:ascii="Roboto" w:hAnsi="Roboto" w:cs="Roboto"/>
                <w:b w:val="0"/>
                <w:i w:val="0"/>
                <w:color w:val="0A0A0A"/>
                <w:spacing w:val="0"/>
                <w:sz w:val="18"/>
              </w:rPr>
              <w:t>Monthly dispute round with the bureaus</w:t>
            </w:r>
          </w:p>
          <w:p>
            <w:pPr>
              <w:pStyle w:val="ListBullet"/>
              <w:spacing w:before="0" w:after="68" w:line="276" w:lineRule="auto"/>
              <w:ind w:left="283" w:hanging="198"/>
              <w:jc w:val="left"/>
            </w:pPr>
            <w:r>
              <w:rPr>
                <w:rFonts w:ascii="Roboto" w:hAnsi="Roboto" w:cs="Roboto"/>
                <w:b w:val="0"/>
                <w:i w:val="0"/>
                <w:color w:val="0A0A0A"/>
                <w:spacing w:val="0"/>
                <w:sz w:val="18"/>
              </w:rPr>
              <w:t>Score tracking in the client portal</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Restoration</w:t>
            </w:r>
          </w:p>
          <w:p>
            <w:pPr>
              <w:spacing w:before="57" w:after="57" w:line="276" w:lineRule="auto"/>
              <w:jc w:val="center"/>
            </w:pPr>
            <w:r>
              <w:rPr>
                <w:rFonts w:ascii="Roboto Bold" w:hAnsi="Roboto Bold" w:cs="Roboto Bold" w:eastAsia="Roboto Bold"/>
                <w:b w:val="0"/>
                <w:i w:val="0"/>
                <w:color w:val="0A0A0A"/>
                <w:spacing w:val="0"/>
                <w:sz w:val="36"/>
              </w:rPr>
              <w:t>$99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Everything in Essentials</w:t>
            </w:r>
          </w:p>
          <w:p>
            <w:pPr>
              <w:pStyle w:val="ListBullet"/>
              <w:spacing w:before="0" w:after="68" w:line="276" w:lineRule="auto"/>
              <w:ind w:left="283" w:hanging="198"/>
              <w:jc w:val="left"/>
            </w:pPr>
            <w:r>
              <w:rPr>
                <w:rFonts w:ascii="Roboto" w:hAnsi="Roboto" w:cs="Roboto"/>
                <w:b w:val="0"/>
                <w:i w:val="0"/>
                <w:color w:val="0A0A0A"/>
                <w:spacing w:val="0"/>
                <w:sz w:val="18"/>
              </w:rPr>
              <w:t>Disputes and validation requests to creditors</w:t>
            </w:r>
          </w:p>
          <w:p>
            <w:pPr>
              <w:pStyle w:val="ListBullet"/>
              <w:spacing w:before="0" w:after="68" w:line="276" w:lineRule="auto"/>
              <w:ind w:left="283" w:hanging="198"/>
              <w:jc w:val="left"/>
            </w:pPr>
            <w:r>
              <w:rPr>
                <w:rFonts w:ascii="Roboto" w:hAnsi="Roboto" w:cs="Roboto"/>
                <w:b w:val="0"/>
                <w:i w:val="0"/>
                <w:color w:val="0A0A0A"/>
                <w:spacing w:val="0"/>
                <w:sz w:val="18"/>
              </w:rPr>
              <w:t>Goodwill letters for isolated late payments</w:t>
            </w:r>
          </w:p>
          <w:p>
            <w:pPr>
              <w:pStyle w:val="ListBullet"/>
              <w:spacing w:before="0" w:after="68" w:line="276" w:lineRule="auto"/>
              <w:ind w:left="283" w:hanging="198"/>
              <w:jc w:val="left"/>
            </w:pPr>
            <w:r>
              <w:rPr>
                <w:rFonts w:ascii="Roboto" w:hAnsi="Roboto" w:cs="Roboto"/>
                <w:b w:val="0"/>
                <w:i w:val="0"/>
                <w:color w:val="0A0A0A"/>
                <w:spacing w:val="0"/>
                <w:sz w:val="18"/>
              </w:rPr>
              <w:t>Monthly coaching call with your specialist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Couples</w:t>
            </w:r>
          </w:p>
          <w:p>
            <w:pPr>
              <w:spacing w:before="57" w:after="57" w:line="276" w:lineRule="auto"/>
              <w:jc w:val="center"/>
            </w:pPr>
            <w:r>
              <w:rPr>
                <w:rFonts w:ascii="Roboto Bold" w:hAnsi="Roboto Bold" w:cs="Roboto Bold" w:eastAsia="Roboto Bold"/>
                <w:b w:val="0"/>
                <w:i w:val="0"/>
                <w:color w:val="0A0A0A"/>
                <w:spacing w:val="0"/>
                <w:sz w:val="36"/>
              </w:rPr>
              <w:t>$169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Restoration for two people on one plan</w:t>
            </w:r>
          </w:p>
          <w:p>
            <w:pPr>
              <w:pStyle w:val="ListBullet"/>
              <w:spacing w:before="0" w:after="68" w:line="276" w:lineRule="auto"/>
              <w:ind w:left="283" w:hanging="198"/>
              <w:jc w:val="left"/>
            </w:pPr>
            <w:r>
              <w:rPr>
                <w:rFonts w:ascii="Roboto" w:hAnsi="Roboto" w:cs="Roboto"/>
                <w:b w:val="0"/>
                <w:i w:val="0"/>
                <w:color w:val="0A0A0A"/>
                <w:spacing w:val="0"/>
                <w:sz w:val="18"/>
              </w:rPr>
              <w:t>Joint accounts reviewed once for both files</w:t>
            </w:r>
          </w:p>
          <w:p>
            <w:pPr>
              <w:pStyle w:val="ListBullet"/>
              <w:spacing w:before="0" w:after="68" w:line="276" w:lineRule="auto"/>
              <w:ind w:left="283" w:hanging="198"/>
              <w:jc w:val="left"/>
            </w:pPr>
            <w:r>
              <w:rPr>
                <w:rFonts w:ascii="Roboto" w:hAnsi="Roboto" w:cs="Roboto"/>
                <w:b w:val="0"/>
                <w:i w:val="0"/>
                <w:color w:val="0A0A0A"/>
                <w:spacing w:val="0"/>
                <w:sz w:val="18"/>
              </w:rPr>
              <w:t>Shared coaching call before a joint application</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9" name="Picture 9039"/>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8"/>
                    <a:stretch>
                      <a:fillRect/>
                    </a:stretch>
                  </pic:blipFill>
                  <pic:spPr>
                    <a:xfrm>
                      <a:off x="0" y="0"/>
                      <a:ext cx="2873375" cy="2155032"/>
                    </a:xfrm>
                    <a:prstGeom prst="rect"/>
                  </pic:spPr>
                </pic:pic>
              </a:graphicData>
            </a:graphic>
          </wp:anchor>
        </w:drawing>
      </w:r>
      <w:r>
        <w:rPr>
          <w:b w:val="0"/>
          <w:i w:val="0"/>
        </w:rPr>
        <w:t>Bluecrest positions itself as the credit repair firm Texas lenders can send their declined applicants to: specific about what it can fix, open about what it cannot, and paid only after each month's work. That position answers the two things competitors leave open, distrust of the trade and the lack of a defined finish line.</w:t>
      </w:r>
    </w:p>
    <w:p>
      <w:pPr>
        <w:spacing w:before="0" w:after="0" w:lineRule="exact" w:line="20"/>
      </w:pPr>
      <w:r>
        <w:rPr>
          <w:spacing w:val="0"/>
          <w:sz w:val="2"/>
        </w:rPr>
        <w:br w:type="textWrapping" w:clear="all"/>
      </w:r>
    </w:p>
    <w:p>
      <w:bookmarkStart w:id="45" w:name="toc_7_2"/>
      <w:pPr>
        <w:pStyle w:val="Heading2"/>
      </w:pPr>
      <w:r>
        <w:t xml:space="preserve">7.2  </w:t>
      </w:r>
      <w:r>
        <w:t>Marketing Objectives</w:t>
      </w:r>
      <w:bookmarkEnd w:id="45"/>
    </w:p>
    <w:p>
      <w:pPr>
        <w:pStyle w:val="ListBullet"/>
      </w:pPr>
      <w:r>
        <w:rPr>
          <w:b w:val="0"/>
          <w:i w:val="0"/>
        </w:rPr>
        <w:t>Sign twenty active loan officer and agent referral partners within six months of launch.</w:t>
      </w:r>
    </w:p>
    <w:p>
      <w:pPr>
        <w:pStyle w:val="ListBullet"/>
      </w:pPr>
      <w:r>
        <w:rPr>
          <w:b w:val="0"/>
          <w:i w:val="0"/>
        </w:rPr>
        <w:t>Reach 160 active restoration clients by the tenth month of trading.</w:t>
      </w:r>
    </w:p>
    <w:p>
      <w:pPr>
        <w:pStyle w:val="ListBullet"/>
      </w:pPr>
      <w:r>
        <w:rPr>
          <w:b w:val="0"/>
          <w:i w:val="0"/>
        </w:rPr>
        <w:t>Enroll six readiness clients a month through partner referrals.</w:t>
      </w:r>
    </w:p>
    <w:p>
      <w:pPr>
        <w:pStyle w:val="ListBullet"/>
      </w:pPr>
      <w:r>
        <w:rPr>
          <w:b w:val="0"/>
          <w:i w:val="0"/>
        </w:rPr>
        <w:t>Earn a review from at least half of the clients who finish a program.</w:t>
      </w:r>
    </w:p>
    <w:p>
      <w:pPr>
        <w:pStyle w:val="ListBullet"/>
        <w:spacing w:after="227"/>
      </w:pPr>
      <w:r>
        <w:rPr>
          <w:b w:val="0"/>
          <w:i w:val="0"/>
        </w:rPr>
        <w:t>Keep the cost of winning a monthly client below the first two months of fees that client brings in.</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Advertising &amp; Local SEO</w:t>
            </w:r>
          </w:p>
          <w:p>
            <w:pPr>
              <w:spacing w:before="113" w:after="0" w:line="460" w:lineRule="exact"/>
              <w:jc w:val="center"/>
            </w:pPr>
            <w:r>
              <w:rPr>
                <w:rFonts w:ascii="Roboto Bold" w:hAnsi="Roboto Bold" w:cs="Roboto Bold" w:eastAsia="Roboto Bold"/>
                <w:b w:val="0"/>
                <w:i w:val="0"/>
                <w:color w:val="0A0A0A"/>
                <w:spacing w:val="0"/>
                <w:sz w:val="40"/>
              </w:rPr>
              <w:t>$675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and listings on the searches people make after a loan denial.</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Referral Partner Program</w:t>
            </w:r>
          </w:p>
          <w:p>
            <w:pPr>
              <w:spacing w:before="113" w:after="0" w:line="460" w:lineRule="exact"/>
              <w:jc w:val="center"/>
            </w:pPr>
            <w:r>
              <w:rPr>
                <w:rFonts w:ascii="Roboto Bold" w:hAnsi="Roboto Bold" w:cs="Roboto Bold" w:eastAsia="Roboto Bold"/>
                <w:b w:val="0"/>
                <w:i w:val="0"/>
                <w:color w:val="0A0A0A"/>
                <w:spacing w:val="0"/>
                <w:sz w:val="40"/>
              </w:rPr>
              <w:t>$507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Lender and agent lunch sessions, referral kits and co-branded guides.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Reviews &amp; Reputation</w:t>
            </w:r>
          </w:p>
          <w:p>
            <w:pPr>
              <w:spacing w:before="113" w:after="0" w:line="460" w:lineRule="exact"/>
              <w:jc w:val="center"/>
            </w:pPr>
            <w:r>
              <w:rPr>
                <w:rFonts w:ascii="Roboto Bold" w:hAnsi="Roboto Bold" w:cs="Roboto Bold" w:eastAsia="Roboto Bold"/>
                <w:b w:val="0"/>
                <w:i w:val="0"/>
                <w:color w:val="0A0A0A"/>
                <w:spacing w:val="0"/>
                <w:sz w:val="40"/>
              </w:rPr>
              <w:t>$254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Review site profiles and requests sent at each client's final round.</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Homebuyer Workshops</w:t>
            </w:r>
          </w:p>
          <w:p>
            <w:pPr>
              <w:spacing w:before="113" w:after="0" w:line="460" w:lineRule="exact"/>
              <w:jc w:val="center"/>
            </w:pPr>
            <w:r>
              <w:rPr>
                <w:rFonts w:ascii="Roboto Bold" w:hAnsi="Roboto Bold" w:cs="Roboto Bold" w:eastAsia="Roboto Bold"/>
                <w:b w:val="0"/>
                <w:i w:val="0"/>
                <w:color w:val="0A0A0A"/>
                <w:spacing w:val="0"/>
                <w:sz w:val="40"/>
              </w:rPr>
              <w:t>$254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credit readiness sessions run with first-time buyer programs.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$20,281 a year, $1,690 a month.</w:t>
      </w:r>
    </w:p>
    <w:p>
      <w:bookmarkStart w:id="46" w:name="toc_7_3"/>
      <w:pPr>
        <w:pStyle w:val="Heading2"/>
      </w:pPr>
      <w:r>
        <w:t xml:space="preserve">7.3  </w:t>
      </w:r>
      <w:r>
        <w:t>Online Marketing</w:t>
      </w:r>
      <w:bookmarkEnd w:id="46"/>
    </w:p>
    <w:p>
      <w:r>
        <w:rPr>
          <w:b w:val="0"/>
          <w:i w:val="0"/>
        </w:rPr>
        <w:t>Online search is where an individual client starts, usually on the evening a denial letter arrives. Bluecrest buys search ads on Texas credit repair and mortgage denial searches, keeps its business listings and review profiles current, and publishes plain-language guides on reading a credit report, what a bureau must investigate, and what the score minimums mean for each kind of loan. The spend is part of a marketing budget held at 10% of revenue.</w:t>
      </w:r>
    </w:p>
    <w:p>
      <w:r>
        <w:rPr>
          <w:b w:val="0"/>
          <w:i w:val="0"/>
        </w:rPr>
        <w:t>Search is measured by enrollments, not clicks. Each ad group is tracked through to a signed contract in the portal, and spend moves every month toward the searches that produce clients who finish their programs. Paid social stays small, because the platforms restrict how credit-related ads may be targeted and the enquiries it brings are the least ready to enroll.</w:t>
      </w:r>
    </w:p>
    <w:p>
      <w:r>
        <w:rPr>
          <w:b w:val="0"/>
          <w:i w:val="0"/>
        </w:rPr>
        <w:t>Every page and ad follows the same rules as the contract: no promise to remove accurate items, no claim of a fixed score increase, and the Texas registration shown on the site.</w:t>
      </w:r>
    </w:p>
    <w:p>
      <w:bookmarkStart w:id="47" w:name="toc_7_4"/>
      <w:pPr>
        <w:pStyle w:val="Heading2"/>
      </w:pPr>
      <w:r>
        <w:t xml:space="preserve">7.4  </w:t>
      </w:r>
      <w:r>
        <w:t>Public Relations and Branding</w:t>
      </w:r>
      <w:bookmarkEnd w:id="47"/>
    </w:p>
    <w:p>
      <w:r>
        <w:rPr>
          <w:b w:val="0"/>
          <w:i w:val="0"/>
        </w:rPr>
        <w:t>Reviews carry more weight in this trade than in most, because buyers arrive wary. Every finished client is asked for one, every review is answered within a week, including the critical ones, and the review profiles show the firm's Texas registration beside the rating.</w:t>
      </w:r>
    </w:p>
    <w:p>
      <w:r>
        <w:rPr>
          <w:b w:val="0"/>
          <w:i w:val="0"/>
        </w:rPr>
        <w:t>The brand is calm and specific: a firm that explains before it sells. Its materials show the client contract, the cancellation right and a sample monthly report openly. The founder runs free homebuyer workshops with lenders and first-time buyer programs, and offers local press and radio a lender's-eye view on credit topics, which builds name recognition among the same people who refer clients.</w:t>
      </w:r>
    </w:p>
    <w:p>
      <w:bookmarkStart w:id="48" w:name="toc_7_5"/>
      <w:pPr>
        <w:pStyle w:val="Heading2"/>
      </w:pPr>
      <w:r>
        <w:t xml:space="preserve">7.5  </w:t>
      </w:r>
      <w:r>
        <w:t>Partnership &amp; Collaboration Strategy</w:t>
      </w:r>
      <w:bookmarkEnd w:id="48"/>
    </w:p>
    <w:p>
      <w:r>
        <w:rPr>
          <w:b w:val="0"/>
          <w:i w:val="0"/>
        </w:rPr>
        <w:t>Partnerships are the main engine. The founder's background in mortgage processing gives him the vocabulary and the contacts to approach loan officers directly, and the readiness program gives them a defined product to offer an applicant they cannot approve. Partners receive a referral kit, a client consent form for progress updates, and a named contact at Bluecrest.</w:t>
      </w:r>
    </w:p>
    <w:p>
      <w:r>
        <w:rPr>
          <w:b w:val="0"/>
          <w:i w:val="0"/>
        </w:rPr>
        <w:t>The partner program is run as a pipeline rather than a mailing list. The founder meets each new loan officer in person, follows up after their first referral with the client's day-30 results, and sends every active partner a short monthly note on their referred clients' progress. A partner who has not referred in a quarter gets a call rather than another brochure, and the twenty most active partners are invited to co-host the homebuyer workshops.</w:t>
      </w:r>
    </w:p>
    <w:p>
      <w:r>
        <w:rPr>
          <w:b w:val="0"/>
          <w:i w:val="0"/>
        </w:rPr>
        <w:t>Real estate agents, auto finance managers and apartment leasing offices are the next ring of partners, approached once the lender program is running. Bluecrest pays no referral fees, which keeps its partners clear of the federal rules on settlement service kickbacks and keeps every recommendation on the merits. Nonprofit counselors are a partner too: Bluecrest sends them clients who need a debt management plan.</w:t>
      </w:r>
    </w:p>
    <w:p>
      <w:bookmarkStart w:id="49" w:name="toc_7_6"/>
      <w:pPr>
        <w:pStyle w:val="Heading2"/>
      </w:pPr>
      <w:r>
        <w:t xml:space="preserve">7.6  </w:t>
      </w:r>
      <w:r>
        <w:t>Customer Loyalty &amp; Retention</w:t>
      </w:r>
      <w:bookmarkEnd w:id="49"/>
    </w:p>
    <w:p>
      <w:r>
        <w:rPr>
          <w:b w:val="0"/>
          <w:i w:val="0"/>
        </w:rPr>
        <w:t>A credit repair client is meant to leave, so loyalty here means finishing well and referring. Clients stay engaged when every month brings a written report of what changed, a call with the same specialist, and a clear plan for the next round. At the end, each client receives a short guide to keeping the score, and returns at no fee for one review call before a future loan application. That call is when most referrals happen.</w:t>
      </w:r>
    </w:p>
    <w:p>
      <w:r>
        <w:rPr>
          <w:b w:val="0"/>
          <w:i w:val="0"/>
        </w:rPr>
        <w:t>Retention also protects the work itself. A client who leaves in the second month never reaches the rounds where most corrections come through, so the specialist calls anyone who misses a payment or goes quiet in the portal, and a client with a short-term hardship can pause the program rather than cancel it.</w:t>
      </w:r>
    </w:p>
    <w:p>
      <w:bookmarkStart w:id="50" w:name="toc_7_7"/>
      <w:pPr>
        <w:pStyle w:val="Heading2"/>
      </w:pPr>
      <w:r>
        <w:t xml:space="preserve">7.7  </w:t>
      </w:r>
      <w:r>
        <w:t>Sales Channels</w:t>
      </w:r>
      <w:bookmarkEnd w:id="50"/>
    </w:p>
    <w:p>
      <w:r>
        <w:rPr>
          <w:b w:val="0"/>
          <w:i w:val="0"/>
        </w:rPr>
        <w:t>Revenue arrives through four routes, listed below in order of what each is worth. Loan officer referrals carry the most per client, because a readiness enrollment is a fixed $695 and arrives with a deadline the client means to meet. Online enrollment brings the most clients, at $99 a month plus the onboarding fee, but each one has to be won with advertising. Agent and past client referrals cost almost nothing and convert best, which is why the partner program and the closing review call matter more to this plan than any single campaign.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Loan Officer Referrals</w:t>
                  </w:r>
                </w:p>
                <w:p>
                  <w:pPr>
                    <w:spacing w:before="0" w:after="0" w:line="284" w:lineRule="exact"/>
                  </w:pPr>
                  <w:r>
                    <w:rPr>
                      <w:rFonts w:ascii="Roboto" w:hAnsi="Roboto" w:cs="Roboto"/>
                      <w:b w:val="0"/>
                      <w:i w:val="0"/>
                      <w:color w:val="0A0A0A"/>
                      <w:spacing w:val="0"/>
                      <w:sz w:val="19"/>
                    </w:rPr>
                    <w:t>The main source of readiness enrollments, and it depends on partners seeing their declined applicants come back qualified.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Enrollment</w:t>
                  </w:r>
                </w:p>
                <w:p>
                  <w:pPr>
                    <w:spacing w:before="0" w:after="0" w:line="284" w:lineRule="exact"/>
                  </w:pPr>
                  <w:r>
                    <w:rPr>
                      <w:rFonts w:ascii="Roboto" w:hAnsi="Roboto" w:cs="Roboto"/>
                      <w:b w:val="0"/>
                      <w:i w:val="0"/>
                      <w:color w:val="0A0A0A"/>
                      <w:spacing w:val="0"/>
                      <w:sz w:val="19"/>
                    </w:rPr>
                    <w:t>Clients who find Bluecrest through search sign up in the portal, which depends on reviews and visibility for Texas credit repair searches.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Real Estate Agent Referrals</w:t>
                  </w:r>
                </w:p>
                <w:p>
                  <w:pPr>
                    <w:spacing w:before="0" w:after="0" w:line="284" w:lineRule="exact"/>
                  </w:pPr>
                  <w:r>
                    <w:rPr>
                      <w:rFonts w:ascii="Roboto" w:hAnsi="Roboto" w:cs="Roboto"/>
                      <w:b w:val="0"/>
                      <w:i w:val="0"/>
                      <w:color w:val="0A0A0A"/>
                      <w:spacing w:val="0"/>
                      <w:sz w:val="19"/>
                    </w:rPr>
                    <w:t>Agents send buyers who fail pre-approval, worth most in spring and summer when listings and buyers peak.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Past Client Referrals</w:t>
                  </w:r>
                </w:p>
                <w:p>
                  <w:pPr>
                    <w:spacing w:before="0" w:after="0" w:line="284" w:lineRule="exact"/>
                  </w:pPr>
                  <w:r>
                    <w:rPr>
                      <w:rFonts w:ascii="Roboto" w:hAnsi="Roboto" w:cs="Roboto"/>
                      <w:b w:val="0"/>
                      <w:i w:val="0"/>
                      <w:color w:val="0A0A0A"/>
                      <w:spacing w:val="0"/>
                      <w:sz w:val="19"/>
                    </w:rPr>
                    <w:t>Finished clients refer family and coworkers, which grows only as fast as results do.</w:t>
                  </w:r>
                </w:p>
              </w:tc>
            </w:tr>
          </w:tbl>
          <w:p>
            <w:pPr>
              <w:spacing w:before="0" w:after="0" w:line="20" w:lineRule="exact"/>
            </w:pPr>
          </w:p>
        </w:tc>
      </w:tr>
    </w:tbl>
    <w:p>
      <w:pPr>
        <w:keepLines/>
        <w:spacing w:before="200" w:after="0" w:line="240" w:lineRule="auto"/>
      </w:pPr>
      <w:hyperlink r:id="rId53">
        <w:r>
          <w:drawing>
            <wp:inline xmlns:a="http://schemas.openxmlformats.org/drawingml/2006/main" xmlns:pic="http://schemas.openxmlformats.org/drawingml/2006/picture">
              <wp:extent cx="6530399" cy="528636"/>
              <wp:docPr id="9044" name="Picture 90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Compliance &amp; State Registration</w:t>
      </w:r>
      <w:r>
        <w:br w:type="page"/>
      </w:r>
    </w:p>
    <w:p>
      <w:bookmarkStart w:id="52" w:name="toc_8_1"/>
      <w:pPr>
        <w:pStyle w:val="Heading2"/>
      </w:pPr>
      <w:r>
        <w:t xml:space="preserve">8.1  </w:t>
      </w:r>
      <w:r>
        <w:t>Daily Operations</w:t>
      </w:r>
      <w:bookmarkEnd w:id="52"/>
    </w:p>
    <w:p>
      <w:r>
        <w:rPr>
          <w:b w:val="0"/>
          <w:i w:val="0"/>
        </w:rPr>
        <w:t>Each working day follows the dispute cycle. Mornings go to new files: reviewing the reports a client has uploaded, completing three-bureau audits, and drafting first-round disputes with the evidence attached. Afternoons go to responses, as bureau and creditor results arrive, each is logged against the item it answers and the next step is set.</w:t>
      </w:r>
    </w:p>
    <w:p>
      <w:r>
        <w:rPr>
          <w:b w:val="0"/>
          <w:i w:val="0"/>
        </w:rPr>
        <w:t>Certified mail goes out once a day so every dispute has a dated record. Client calls are booked through the portal, and partner updates are sent weekly to the loan officers whose clients have given written consent. Billing runs at the end of each client's monthly cycle, after the work for that month is complete and reported.</w:t>
      </w:r>
    </w:p>
    <w:p>
      <w:bookmarkStart w:id="53" w:name="toc_8_2"/>
      <w:pPr>
        <w:pStyle w:val="Heading2"/>
      </w:pPr>
      <w:r>
        <w:t xml:space="preserve">8.2  </w:t>
      </w:r>
      <w:r>
        <w:t>Working Hours</w:t>
      </w:r>
      <w:bookmarkEnd w:id="53"/>
    </w:p>
    <w:p>
      <w:r>
        <w:rPr>
          <w:b w:val="0"/>
          <w:i w:val="0"/>
        </w:rPr>
        <w:t>Bluecrest is open Monday to Friday from 8:30 a.m. to 6:00 p.m., with calls until 7:00 p.m. on Tuesdays and Thursdays and a Saturday morning slot from 9:00 a.m. to noon by appointment. Most clients work regular hours themselves and can only talk about their finances in the evening or at the weekend, so the late and Saturday slots exist for them. The portal accepts documents and messages at any hour.</w:t>
      </w:r>
    </w:p>
    <w:p>
      <w:bookmarkStart w:id="54" w:name="toc_8_3"/>
      <w:pPr>
        <w:pStyle w:val="Heading2"/>
      </w:pPr>
      <w:r>
        <w:t xml:space="preserve">8.3  </w:t>
      </w:r>
      <w:r>
        <w:t>Staffing &amp; Training</w:t>
      </w:r>
      <w:bookmarkEnd w:id="54"/>
    </w:p>
    <w:p>
      <w:r>
        <w:rPr>
          <w:b w:val="0"/>
          <w:i w:val="0"/>
        </w:rPr>
        <w:t>The founder and one dispute specialist run the firm in the first year, with a client success coordinator joining in the second to take onboarding and coaching calls. Every new hire completes training in the federal and Texas credit repair rules, the bureaus' dispute procedures and the firm's own dispute standards before handling a file, and the specialists review each other's first-round letters.</w:t>
      </w:r>
    </w:p>
    <w:p>
      <w:bookmarkStart w:id="55" w:name="toc_8_4"/>
      <w:pPr>
        <w:pStyle w:val="Heading2"/>
      </w:pPr>
      <w:r>
        <w:t xml:space="preserve">8.4  </w:t>
      </w:r>
      <w:r>
        <w:t>Location and Facilities</w:t>
      </w:r>
      <w:bookmarkEnd w:id="55"/>
    </w:p>
    <w:p>
      <w:r>
        <w:rPr>
          <w:b w:val="0"/>
          <w:i w:val="0"/>
        </w:rPr>
        <w:t>The firm leases about 500 square feet of office suite space in Dallas for $1,400 a month, enough for three workstations and a private room for client and partner meetings. Client work is remote, so the office needs no street frontage; what it needs is secure document storage, a reliable connection and a quiet room for calls.</w:t>
      </w:r>
    </w:p>
    <w:p>
      <w:bookmarkStart w:id="56" w:name="toc_8_5"/>
      <w:pPr>
        <w:pStyle w:val="Heading2"/>
      </w:pPr>
      <w:r>
        <w:t xml:space="preserve">8.5  </w:t>
      </w:r>
      <w:r>
        <w:t>Milestones &amp; Timeline</w:t>
      </w:r>
      <w:bookmarkEnd w:id="56"/>
    </w:p>
    <w:p>
      <w:r>
        <w:rPr>
          <w:b w:val="0"/>
          <w:i w:val="0"/>
        </w:rPr>
        <w:t>The timeline runs from registration in late 2026 to a full client book in the tenth month of trading, with the second-year hire that lets the specialists concentrate on disputes.</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0F6B4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Texas Registration and Bond</w:t>
            </w:r>
          </w:p>
          <w:p>
            <w:pPr>
              <w:spacing w:before="0" w:after="79" w:line="288" w:lineRule="auto"/>
            </w:pPr>
            <w:r>
              <w:rPr>
                <w:rFonts w:ascii="Roboto" w:hAnsi="Roboto" w:cs="Roboto"/>
                <w:b w:val="0"/>
                <w:i w:val="0"/>
                <w:color w:val="0F6B4F"/>
                <w:spacing w:val="0"/>
                <w:sz w:val="18"/>
              </w:rPr>
              <w:t>Legal footing before any client signs</w:t>
            </w:r>
          </w:p>
          <w:p>
            <w:pPr>
              <w:spacing w:before="0" w:after="0" w:line="330" w:lineRule="exact"/>
            </w:pPr>
            <w:r>
              <w:rPr>
                <w:rFonts w:ascii="Roboto" w:hAnsi="Roboto" w:cs="Roboto"/>
                <w:b w:val="0"/>
                <w:i w:val="0"/>
                <w:color w:val="0A0A0A"/>
                <w:sz w:val="22"/>
              </w:rPr>
              <w:t>Register Bluecrest as a credit services organization with the Secretary of State and file the $10,000 surety bond.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0F6B4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Systems and Contracts Ready</w:t>
            </w:r>
          </w:p>
          <w:p>
            <w:pPr>
              <w:spacing w:before="0" w:after="79" w:line="288" w:lineRule="auto"/>
            </w:pPr>
            <w:r>
              <w:rPr>
                <w:rFonts w:ascii="Roboto" w:hAnsi="Roboto" w:cs="Roboto"/>
                <w:b w:val="0"/>
                <w:i w:val="0"/>
                <w:color w:val="0F6B4F"/>
                <w:spacing w:val="0"/>
                <w:sz w:val="18"/>
              </w:rPr>
              <w:t>Software, portal and documents tested</w:t>
            </w:r>
          </w:p>
          <w:p>
            <w:pPr>
              <w:spacing w:before="0" w:after="0" w:line="330" w:lineRule="exact"/>
            </w:pPr>
            <w:r>
              <w:rPr>
                <w:rFonts w:ascii="Roboto" w:hAnsi="Roboto" w:cs="Roboto"/>
                <w:b w:val="0"/>
                <w:i w:val="0"/>
                <w:color w:val="0A0A0A"/>
                <w:sz w:val="22"/>
              </w:rPr>
              <w:t>Configure the dispute software and client portal, and have counsel review the contract and both disclosure statements.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0F6B4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Clients Enrolled</w:t>
            </w:r>
          </w:p>
          <w:p>
            <w:pPr>
              <w:spacing w:before="0" w:after="79" w:line="288" w:lineRule="auto"/>
            </w:pPr>
            <w:r>
              <w:rPr>
                <w:rFonts w:ascii="Roboto" w:hAnsi="Roboto" w:cs="Roboto"/>
                <w:b w:val="0"/>
                <w:i w:val="0"/>
                <w:color w:val="0F6B4F"/>
                <w:spacing w:val="0"/>
                <w:sz w:val="18"/>
              </w:rPr>
              <w:t>Restoration program opens statewide</w:t>
            </w:r>
          </w:p>
          <w:p>
            <w:pPr>
              <w:spacing w:before="0" w:after="0" w:line="330" w:lineRule="exact"/>
            </w:pPr>
            <w:r>
              <w:rPr>
                <w:rFonts w:ascii="Roboto" w:hAnsi="Roboto" w:cs="Roboto"/>
                <w:b w:val="0"/>
                <w:i w:val="0"/>
                <w:color w:val="0A0A0A"/>
                <w:sz w:val="22"/>
              </w:rPr>
              <w:t>Open online enrollment across Texas and run the first audits and dispute rounds.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0F6B4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Readiness Program Partners</w:t>
            </w:r>
          </w:p>
          <w:p>
            <w:pPr>
              <w:spacing w:before="0" w:after="79" w:line="288" w:lineRule="auto"/>
            </w:pPr>
            <w:r>
              <w:rPr>
                <w:rFonts w:ascii="Roboto" w:hAnsi="Roboto" w:cs="Roboto"/>
                <w:b w:val="0"/>
                <w:i w:val="0"/>
                <w:color w:val="0F6B4F"/>
                <w:spacing w:val="0"/>
                <w:sz w:val="18"/>
              </w:rPr>
              <w:t>Loan officers start referring</w:t>
            </w:r>
          </w:p>
          <w:p>
            <w:pPr>
              <w:spacing w:before="0" w:after="0" w:line="330" w:lineRule="exact"/>
            </w:pPr>
            <w:r>
              <w:rPr>
                <w:rFonts w:ascii="Roboto" w:hAnsi="Roboto" w:cs="Roboto"/>
                <w:b w:val="0"/>
                <w:i w:val="0"/>
                <w:color w:val="0A0A0A"/>
                <w:sz w:val="22"/>
              </w:rPr>
              <w:t>Sign the first loan officers and agents to the 90-day mortgage readiness program.</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Oct 2027</w:t>
            </w:r>
          </w:p>
          <w:p>
            <w:pPr>
              <w:spacing w:before="0" w:after="0" w:line="276" w:lineRule="auto"/>
              <w:jc w:val="right"/>
            </w:pPr>
            <w:r>
              <w:rPr>
                <w:rFonts w:ascii="Roboto" w:hAnsi="Roboto" w:cs="Roboto"/>
                <w:b w:val="0"/>
                <w:i w:val="0"/>
                <w:color w:val="0F6B4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Client Book</w:t>
            </w:r>
          </w:p>
          <w:p>
            <w:pPr>
              <w:spacing w:before="0" w:after="79" w:line="288" w:lineRule="auto"/>
            </w:pPr>
            <w:r>
              <w:rPr>
                <w:rFonts w:ascii="Roboto" w:hAnsi="Roboto" w:cs="Roboto"/>
                <w:b w:val="0"/>
                <w:i w:val="0"/>
                <w:color w:val="0F6B4F"/>
                <w:spacing w:val="0"/>
                <w:sz w:val="18"/>
              </w:rPr>
              <w:t>Ramp complete</w:t>
            </w:r>
          </w:p>
          <w:p>
            <w:pPr>
              <w:spacing w:before="0" w:after="0" w:line="330" w:lineRule="exact"/>
            </w:pPr>
            <w:r>
              <w:rPr>
                <w:rFonts w:ascii="Roboto" w:hAnsi="Roboto" w:cs="Roboto"/>
                <w:b w:val="0"/>
                <w:i w:val="0"/>
                <w:color w:val="0A0A0A"/>
                <w:sz w:val="22"/>
              </w:rPr>
              <w:t>Reach 160 active restoration clients and six readiness enrollments a month.</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Jan 2028</w:t>
            </w:r>
          </w:p>
          <w:p>
            <w:pPr>
              <w:spacing w:before="0" w:after="0" w:line="276" w:lineRule="auto"/>
              <w:jc w:val="right"/>
            </w:pPr>
            <w:r>
              <w:rPr>
                <w:rFonts w:ascii="Roboto" w:hAnsi="Roboto" w:cs="Roboto"/>
                <w:b w:val="0"/>
                <w:i w:val="0"/>
                <w:color w:val="0F6B4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Client Success Hire</w:t>
            </w:r>
          </w:p>
          <w:p>
            <w:pPr>
              <w:spacing w:before="0" w:after="79" w:line="288" w:lineRule="auto"/>
            </w:pPr>
            <w:r>
              <w:rPr>
                <w:rFonts w:ascii="Roboto" w:hAnsi="Roboto" w:cs="Roboto"/>
                <w:b w:val="0"/>
                <w:i w:val="0"/>
                <w:color w:val="0F6B4F"/>
                <w:spacing w:val="0"/>
                <w:sz w:val="18"/>
              </w:rPr>
              <w:t>Capacity for the second year</w:t>
            </w:r>
          </w:p>
          <w:p>
            <w:pPr>
              <w:spacing w:before="0" w:after="0" w:line="330" w:lineRule="exact"/>
            </w:pPr>
            <w:r>
              <w:rPr>
                <w:rFonts w:ascii="Roboto" w:hAnsi="Roboto" w:cs="Roboto"/>
                <w:b w:val="0"/>
                <w:i w:val="0"/>
                <w:color w:val="0A0A0A"/>
                <w:sz w:val="22"/>
              </w:rPr>
              <w:t>Bring in a client success coordinator to take onboarding and coaching calls off the specialists.</w:t>
            </w:r>
          </w:p>
        </w:tc>
      </w:tr>
    </w:tbl>
    <w:p>
      <w:pPr>
        <w:spacing w:before="0" w:after="0" w:line="80" w:lineRule="exact"/>
      </w:pPr>
    </w:p>
    <w:p>
      <w:bookmarkStart w:id="57" w:name="toc_8_6"/>
      <w:pPr>
        <w:pStyle w:val="Heading2"/>
      </w:pPr>
      <w:r>
        <w:t xml:space="preserve">8.6  </w:t>
      </w:r>
      <w:r>
        <w:t>Compliance &amp; State Registration</w:t>
      </w:r>
      <w:bookmarkEnd w:id="57"/>
    </w:p>
    <w:p>
      <w:r>
        <w:rPr>
          <w:b w:val="0"/>
          <w:i w:val="0"/>
        </w:rPr>
        <w:t>Compliance decides when and how Bluecrest may bill, so it is built into the workflow rather than checked afterward. The federal Credit Repair Organizations Act bars charging for any service before it is fully performed, requires a written disclosure statement before a contract is signed, and gives every client three business days to cancel. Bluecrest therefore bills each month in arrears, after that month's round is reported.</w:t>
      </w:r>
    </w:p>
    <w:p>
      <w:r>
        <w:rPr>
          <w:b w:val="0"/>
          <w:i w:val="0"/>
        </w:rPr>
        <w:t>Texas adds its own regime under Finance Code chapter 393. The firm registers with the Secretary of State before doing business and renews each year for $100. It holds a $10,000 surety bond for its one location, which is what allows it to collect payment while a program is still running. Its contract states an estimated performance period of no more than 180 days, includes the Texas cancellation notice, and promises refunds within 10 days of a cancellation. A violation is a Class B misdemeanor and actionable under the Texas Deceptive Trade Practices Act, which is reason enough to treat every contract as a legal document.</w:t>
      </w:r>
    </w:p>
    <w:p>
      <w:r>
        <w:rPr>
          <w:b w:val="0"/>
          <w:i w:val="0"/>
        </w:rPr>
        <w:t>Two further rules shape the operation. Bluecrest does not sell by telephone: enrollment happens through the portal or in person, because a phone sale would bar any fee until six months after results appear. And it never disputes information it knows to be accurate or advises a client to misstate anything to a bureau or creditor, which both federal and Texas law prohibit.</w:t>
      </w:r>
    </w:p>
    <w:p>
      <w:pPr>
        <w:pStyle w:val="ListBullet"/>
      </w:pPr>
      <w:r>
        <w:rPr>
          <w:b w:val="0"/>
          <w:i w:val="0"/>
        </w:rPr>
        <w:t>No fee is charged for any month before that month's work is performed and reported.</w:t>
      </w:r>
    </w:p>
    <w:p>
      <w:pPr>
        <w:pStyle w:val="ListBullet"/>
      </w:pPr>
      <w:r>
        <w:rPr>
          <w:b w:val="0"/>
          <w:i w:val="0"/>
        </w:rPr>
        <w:t>No accurate, current item is disputed as inaccurate, and no client is told to.</w:t>
      </w:r>
    </w:p>
    <w:p>
      <w:pPr>
        <w:pStyle w:val="ListBullet"/>
      </w:pPr>
      <w:r>
        <w:rPr>
          <w:b w:val="0"/>
          <w:i w:val="0"/>
        </w:rPr>
        <w:t>No client is advised to apply for a new tax or employer identification number to start a fresh credit file.</w:t>
      </w:r>
    </w:p>
    <w:p>
      <w:pPr>
        <w:pStyle w:val="ListBullet"/>
        <w:spacing w:after="227"/>
      </w:pPr>
      <w:r>
        <w:rPr>
          <w:b w:val="0"/>
          <w:i w:val="0"/>
        </w:rPr>
        <w:t>No result is promised in points or in a number of items removed.</w:t>
      </w:r>
    </w:p>
    <w:p>
      <w:r>
        <w:rPr>
          <w:b w:val="0"/>
          <w:i w:val="0"/>
        </w:rPr>
        <w:t>Client data is handled as the sensitive record it is. Reports, identity documents and statements live only in the encrypted portal and the dispute software, access is limited to the client's specialist and the founder, and nothing is kept on personal devices or sent by ordinary email. Paper that arrives by mail is scanned on receipt and shredded once the file closes.</w:t>
      </w:r>
    </w:p>
    <w:p>
      <w:r>
        <w:rPr>
          <w:b w:val="0"/>
          <w:i w:val="0"/>
        </w:rPr>
        <w:t>Every file can answer for itself: the signed disclosures and contract, each dispute letter with its certified mail receipt, every bureau and creditor response, and every invoice beside the work it covered. The founder reviews a sample of files each month against the firm's dispute standards and the contract, and every client complaint is logged, answered within two business days and checked for a process that needs to change.</w:t>
      </w:r>
    </w:p>
    <w:p>
      <w:r>
        <w:rPr>
          <w:b w:val="0"/>
          <w:i w:val="0"/>
        </w:rPr>
        <w:t>Each year, before the Texas registration renews, the outside attorney reviews the contract, both disclosure statements and the website against any change in federal or state rules, and the surety bond is confirmed in force. Those dates sit in the firm's calendar beside the bureau deadlines that drive the daily work.</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founder answers for referral partnerships, compliance and cash. He is measured on the number of active partners, readiness enrollments each month, and a clean record with regulators and the bond.</w:t>
      </w:r>
    </w:p>
    <w:p>
      <w:r>
        <w:rPr>
          <w:b w:val="0"/>
          <w:i w:val="0"/>
        </w:rPr>
        <w:t>The lead specialist answers for the quality and pace of disputes. Her measures are items corrected per client after each bureau investigation, rounds sent on time, and the share of readiness clients who reach their target score by day 90.</w:t>
      </w:r>
    </w:p>
    <w:p>
      <w:r>
        <w:rPr>
          <w:b w:val="0"/>
          <w:i w:val="0"/>
        </w:rPr>
        <w:t>From the second year, the coordinator answers for the client experience outside the dispute letters themselves: onboarding within two days of signing, every monthly call held, and the review and referral rate at the end of each program.</w:t>
      </w:r>
    </w:p>
    <w:p>
      <w:r>
        <w:rPr>
          <w:b w:val="0"/>
          <w:i w:val="0"/>
        </w:rPr>
        <w:t>Pay is tied to the same measures. The specialist's quarterly bonus rests on items corrected and on files reviewed without a compliance exception, never on enrollments, so nobody at Bluecrest is paid to sell a program a client does not need.</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F6B4F"/>
                <w:spacing w:val="0"/>
                <w:sz w:val="28"/>
              </w:rPr>
              <w:t>Marcus Bennett</w:t>
            </w:r>
          </w:p>
          <w:p>
            <w:pPr>
              <w:spacing w:before="0" w:after="0" w:line="288" w:lineRule="auto"/>
            </w:pPr>
            <w:r>
              <w:rPr>
                <w:rFonts w:ascii="Roboto" w:hAnsi="Roboto" w:cs="Roboto"/>
                <w:b w:val="0"/>
                <w:i w:val="0"/>
                <w:color w:val="595959"/>
                <w:spacing w:val="0"/>
                <w:sz w:val="20"/>
              </w:rPr>
              <w:t xml:space="preserve">Founder &amp; Managing Director · </w:t>
            </w:r>
            <w:hyperlink r:id="rId56">
              <w:r>
                <w:rPr>
                  <w:rFonts w:ascii="Roboto" w:hAnsi="Roboto" w:cs="Roboto"/>
                  <w:color w:val="0F6B4F"/>
                  <w:spacing w:val="0"/>
                  <w:sz w:val="20"/>
                  <w:szCs w:val="20"/>
                  <w:u w:val="single"/>
                </w:rPr>
                <w:t xml:space="preserve">marcus@bluecrest.example</w:t>
              </w:r>
            </w:hyperlink>
          </w:p>
          <w:p>
            <w:pPr>
              <w:spacing w:before="125" w:after="0" w:line="312" w:lineRule="auto"/>
            </w:pPr>
            <w:r>
              <w:rPr>
                <w:rFonts w:ascii="Roboto" w:hAnsi="Roboto" w:cs="Roboto"/>
                <w:b w:val="0"/>
                <w:i w:val="0"/>
                <w:color w:val="0A0A0A"/>
                <w:spacing w:val="0"/>
                <w:sz w:val="20"/>
              </w:rPr>
              <w:t>Spent nine years as a mortgage loan processor in Dallas, reading credit reports and denial letters from the lender's side.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jpg"/>
                          <pic:cNvPicPr/>
                        </pic:nvPicPr>
                        <pic:blipFill>
                          <a:blip r:embed="rId5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F6B4F"/>
                <w:spacing w:val="0"/>
                <w:sz w:val="28"/>
              </w:rPr>
              <w:t>Rachel Ortiz</w:t>
            </w:r>
          </w:p>
          <w:p>
            <w:pPr>
              <w:spacing w:before="0" w:after="0" w:line="288" w:lineRule="auto"/>
            </w:pPr>
            <w:r>
              <w:rPr>
                <w:rFonts w:ascii="Roboto" w:hAnsi="Roboto" w:cs="Roboto"/>
                <w:b w:val="0"/>
                <w:i w:val="0"/>
                <w:color w:val="595959"/>
                <w:spacing w:val="0"/>
                <w:sz w:val="20"/>
              </w:rPr>
              <w:t xml:space="preserve">Lead Dispute Specialist · </w:t>
            </w:r>
            <w:hyperlink r:id="rId58">
              <w:r>
                <w:rPr>
                  <w:rFonts w:ascii="Roboto" w:hAnsi="Roboto" w:cs="Roboto"/>
                  <w:color w:val="0F6B4F"/>
                  <w:spacing w:val="0"/>
                  <w:sz w:val="20"/>
                  <w:szCs w:val="20"/>
                  <w:u w:val="single"/>
                </w:rPr>
                <w:t xml:space="preserve">rachel@bluecrest.example</w:t>
              </w:r>
            </w:hyperlink>
          </w:p>
          <w:p>
            <w:pPr>
              <w:spacing w:before="125" w:after="0" w:line="312" w:lineRule="auto"/>
            </w:pPr>
            <w:r>
              <w:rPr>
                <w:rFonts w:ascii="Roboto" w:hAnsi="Roboto" w:cs="Roboto"/>
                <w:b w:val="0"/>
                <w:i w:val="0"/>
                <w:color w:val="0A0A0A"/>
                <w:spacing w:val="0"/>
                <w:sz w:val="20"/>
              </w:rPr>
              <w:t>Worked six years in collections and account resolution, and handles the bureau and furnisher correspondence on every file.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F6B4F"/>
                <w:spacing w:val="0"/>
                <w:sz w:val="28"/>
              </w:rPr>
              <w:t>Kevin Doyle</w:t>
            </w:r>
          </w:p>
          <w:p>
            <w:pPr>
              <w:spacing w:before="0" w:after="0" w:line="288" w:lineRule="auto"/>
            </w:pPr>
            <w:r>
              <w:rPr>
                <w:rFonts w:ascii="Roboto" w:hAnsi="Roboto" w:cs="Roboto"/>
                <w:b w:val="0"/>
                <w:i w:val="0"/>
                <w:color w:val="595959"/>
                <w:spacing w:val="0"/>
                <w:sz w:val="20"/>
              </w:rPr>
              <w:t xml:space="preserve">Client Success Coordinator · </w:t>
            </w:r>
            <w:hyperlink r:id="rId60">
              <w:r>
                <w:rPr>
                  <w:rFonts w:ascii="Roboto" w:hAnsi="Roboto" w:cs="Roboto"/>
                  <w:color w:val="0F6B4F"/>
                  <w:spacing w:val="0"/>
                  <w:sz w:val="20"/>
                  <w:szCs w:val="20"/>
                  <w:u w:val="single"/>
                </w:rPr>
                <w:t xml:space="preserve">kevin@bluecrest.example</w:t>
              </w:r>
            </w:hyperlink>
          </w:p>
          <w:p>
            <w:pPr>
              <w:spacing w:before="125" w:after="0" w:line="312" w:lineRule="auto"/>
            </w:pPr>
            <w:r>
              <w:rPr>
                <w:rFonts w:ascii="Roboto" w:hAnsi="Roboto" w:cs="Roboto"/>
                <w:b w:val="0"/>
                <w:i w:val="0"/>
                <w:color w:val="0A0A0A"/>
                <w:spacing w:val="0"/>
                <w:sz w:val="20"/>
              </w:rPr>
              <w:t>Joins in the second year from a credit union member services desk to run onboarding, coaching calls and partner updates.</w:t>
            </w:r>
          </w:p>
        </w:tc>
      </w:tr>
    </w:tbl>
    <w:p>
      <w:pPr>
        <w:spacing w:before="0" w:after="0" w:line="23" w:lineRule="exact"/>
      </w:pPr>
    </w:p>
    <w:p>
      <w:bookmarkStart w:id="60" w:name="toc_9_2"/>
      <w:pPr>
        <w:pStyle w:val="Heading2"/>
      </w:pPr>
      <w:r>
        <w:t xml:space="preserve">9.2  </w:t>
      </w:r>
      <w:r>
        <w:t>Organization Chart</w:t>
      </w:r>
      <w:bookmarkEnd w:id="60"/>
    </w:p>
    <w:p>
      <w:r>
        <w:rPr>
          <w:b w:val="0"/>
          <w:i w:val="0"/>
        </w:rPr>
        <w:t>Both team members report to the founder, who signs off on every contract and every change to the firm's dispute standards. In a firm of three the chart is simple on purpose: one person is accountable for compliance, and nothing reaches a client or a bureau without passing through a named owner.</w:t>
      </w:r>
    </w:p>
    <w:p>
      <w:pPr>
        <w:spacing w:before="0" w:after="397" w:line="240" w:lineRule="auto"/>
        <w:jc w:val="center"/>
      </w:pPr>
      <w:r>
        <w:drawing>
          <wp:inline xmlns:a="http://schemas.openxmlformats.org/drawingml/2006/main" xmlns:pic="http://schemas.openxmlformats.org/drawingml/2006/picture">
            <wp:extent cx="4562474" cy="1809750"/>
            <wp:docPr id="9054" name="Picture 90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562474" cy="1809750"/>
                    </a:xfrm>
                    <a:prstGeom prst="rect"/>
                  </pic:spPr>
                </pic:pic>
              </a:graphicData>
            </a:graphic>
          </wp:inline>
        </w:drawing>
      </w:r>
    </w:p>
    <w:p>
      <w:bookmarkStart w:id="61" w:name="toc_9_3"/>
      <w:pPr>
        <w:pStyle w:val="Heading2"/>
      </w:pPr>
      <w:r>
        <w:t xml:space="preserve">9.3  </w:t>
      </w:r>
      <w:r>
        <w:t>Advisory Board Members</w:t>
      </w:r>
      <w:bookmarkEnd w:id="61"/>
    </w:p>
    <w:p>
      <w:r>
        <w:rPr>
          <w:b w:val="0"/>
          <w:i w:val="0"/>
        </w:rPr>
        <w:t>Bluecrest draws on three outside advisers rather than a formal board. A consumer finance attorney reviews the contract, both disclosure statements and any change in federal or Texas rules. A certified public accountant handles the books, payroll filings and the corporate tax return. And a mortgage underwriting manager the founder worked with acts as an informal sounding board on how lenders read the files Bluecrest prepares.</w:t>
      </w:r>
    </w:p>
    <w:p>
      <w:r>
        <w:rPr>
          <w:b w:val="0"/>
          <w:i w:val="0"/>
        </w:rPr>
        <w:t>None of the three holds equity or sits on a retainer beyond normal professional fees, and the underwriting manager's input is informal and unpaid. As the firm grows, the founder intends to meet all three each quarter to review the complaint log, dispute outcomes and any rule change before it reaches a client.</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6"/>
        <w:gridCol w:w="2052"/>
        <w:gridCol w:w="1839"/>
        <w:gridCol w:w="1920"/>
        <w:gridCol w:w="1016"/>
      </w:tblGrid>
      <w:tr>
        <w:trPr>
          <w:cantSplit/>
          <w:tblHeader/>
        </w:trPr>
        <w:tc>
          <w:tcPr>
            <w:tcW w:type="dxa" w:w="345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05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3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20"/>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1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5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Leadership &amp; Partnerships</w:t>
            </w:r>
          </w:p>
        </w:tc>
        <w:tc>
          <w:tcPr>
            <w:tcW w:type="dxa" w:w="205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83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20"/>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1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5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Dispute Operations</w:t>
            </w:r>
          </w:p>
        </w:tc>
        <w:tc>
          <w:tcPr>
            <w:tcW w:type="dxa" w:w="205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3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20"/>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1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5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Client Success</w:t>
            </w:r>
          </w:p>
        </w:tc>
        <w:tc>
          <w:tcPr>
            <w:tcW w:type="dxa" w:w="205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3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20"/>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01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63">
        <w:r>
          <w:drawing>
            <wp:inline xmlns:a="http://schemas.openxmlformats.org/drawingml/2006/main" xmlns:pic="http://schemas.openxmlformats.org/drawingml/2006/picture">
              <wp:extent cx="6530399" cy="519139"/>
              <wp:docPr id="9055" name="Picture 90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0F6B4F"/>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the formula (Active Clients x Monthly Service Fee x (1 + Onboarding Fee Share) + Readiness Enrollments x Readiness Program Fee) x 12. Each driver is set from published prices and the capacity of a small team.</w:t>
      </w:r>
    </w:p>
    <w:p>
      <w:pPr>
        <w:pStyle w:val="ListBullet"/>
      </w:pPr>
      <w:r>
        <w:rPr>
          <w:rFonts w:ascii="Roboto Bold" w:hAnsi="Roboto Bold" w:eastAsia="Roboto Bold" w:cs="Roboto Bold"/>
          <w:b w:val="0"/>
          <w:i w:val="0"/>
        </w:rPr>
        <w:t>Active clients:</w:t>
      </w:r>
      <w:r>
        <w:rPr>
          <w:b w:val="0"/>
          <w:i w:val="0"/>
        </w:rPr>
        <w:t xml:space="preserve"> 160 once the book is built, carried by the founder and the lead specialist, with a coordinator joining in the second year.</w:t>
      </w:r>
    </w:p>
    <w:p>
      <w:pPr>
        <w:pStyle w:val="ListBullet"/>
      </w:pPr>
      <w:r>
        <w:rPr>
          <w:rFonts w:ascii="Roboto Bold" w:hAnsi="Roboto Bold" w:eastAsia="Roboto Bold" w:cs="Roboto Bold"/>
          <w:b w:val="0"/>
          <w:i w:val="0"/>
        </w:rPr>
        <w:t>Monthly service fee:</w:t>
      </w:r>
      <w:r>
        <w:rPr>
          <w:b w:val="0"/>
          <w:i w:val="0"/>
        </w:rPr>
        <w:t xml:space="preserve"> $99, the middle of published national pricing and close to local rates.</w:t>
      </w:r>
    </w:p>
    <w:p>
      <w:pPr>
        <w:pStyle w:val="ListBullet"/>
      </w:pPr>
      <w:r>
        <w:rPr>
          <w:rFonts w:ascii="Roboto Bold" w:hAnsi="Roboto Bold" w:eastAsia="Roboto Bold" w:cs="Roboto Bold"/>
          <w:b w:val="0"/>
          <w:i w:val="0"/>
        </w:rPr>
        <w:t>Onboarding fee share:</w:t>
      </w:r>
      <w:r>
        <w:rPr>
          <w:b w:val="0"/>
          <w:i w:val="0"/>
        </w:rPr>
        <w:t xml:space="preserve"> 20% of monthly fees, from a $99 fee charged once to a client who stays about five months.</w:t>
      </w:r>
    </w:p>
    <w:p>
      <w:pPr>
        <w:pStyle w:val="ListBullet"/>
      </w:pPr>
      <w:r>
        <w:rPr>
          <w:rFonts w:ascii="Roboto Bold" w:hAnsi="Roboto Bold" w:eastAsia="Roboto Bold" w:cs="Roboto Bold"/>
          <w:b w:val="0"/>
          <w:i w:val="0"/>
        </w:rPr>
        <w:t>Readiness program:</w:t>
      </w:r>
      <w:r>
        <w:rPr>
          <w:b w:val="0"/>
          <w:i w:val="0"/>
        </w:rPr>
        <w:t xml:space="preserve"> six enrollments a month at $695 each.</w:t>
      </w:r>
    </w:p>
    <w:p>
      <w:pPr>
        <w:pStyle w:val="ListBullet"/>
      </w:pPr>
      <w:r>
        <w:rPr>
          <w:rFonts w:ascii="Roboto Bold" w:hAnsi="Roboto Bold" w:eastAsia="Roboto Bold" w:cs="Roboto Bold"/>
          <w:b w:val="0"/>
          <w:i w:val="0"/>
        </w:rPr>
        <w:t>Ramp:</w:t>
      </w:r>
      <w:r>
        <w:rPr>
          <w:b w:val="0"/>
          <w:i w:val="0"/>
        </w:rPr>
        <w:t xml:space="preserve"> the year opens at 35% of the full book and builds over ten months.</w:t>
      </w:r>
    </w:p>
    <w:p>
      <w:pPr>
        <w:pStyle w:val="ListBullet"/>
      </w:pPr>
      <w:r>
        <w:rPr>
          <w:rFonts w:ascii="Roboto Bold" w:hAnsi="Roboto Bold" w:eastAsia="Roboto Bold" w:cs="Roboto Bold"/>
          <w:b w:val="0"/>
          <w:i w:val="0"/>
        </w:rPr>
        <w:t>Costs:</w:t>
      </w:r>
      <w:r>
        <w:rPr>
          <w:b w:val="0"/>
          <w:i w:val="0"/>
        </w:rPr>
        <w:t xml:space="preserve"> gross margin of 86.0%, payroll at 42% of revenue and marketing at 10%, with rent of $1,400 a month.</w:t>
      </w:r>
    </w:p>
    <w:p>
      <w:pPr>
        <w:pStyle w:val="ListBullet"/>
      </w:pPr>
      <w:r>
        <w:rPr>
          <w:rFonts w:ascii="Roboto Bold" w:hAnsi="Roboto Bold" w:eastAsia="Roboto Bold" w:cs="Roboto Bold"/>
          <w:b w:val="0"/>
          <w:i w:val="0"/>
        </w:rPr>
        <w:t>Billing:</w:t>
      </w:r>
      <w:r>
        <w:rPr>
          <w:b w:val="0"/>
          <w:i w:val="0"/>
        </w:rPr>
        <w:t xml:space="preserve"> all fees charged after the work, settling in about 15 days, with 3% of billings assumed lost to declined or disputed cards.</w:t>
      </w:r>
    </w:p>
    <w:p>
      <w:pPr>
        <w:pStyle w:val="ListBullet"/>
        <w:spacing w:after="227"/>
      </w:pPr>
      <w:r>
        <w:rPr>
          <w:rFonts w:ascii="Roboto Bold" w:hAnsi="Roboto Bold" w:eastAsia="Roboto Bold" w:cs="Roboto Bold"/>
          <w:b w:val="0"/>
          <w:i w:val="0"/>
        </w:rPr>
        <w:t>Taxes:</w:t>
      </w:r>
      <w:r>
        <w:rPr>
          <w:b w:val="0"/>
          <w:i w:val="0"/>
        </w:rPr>
        <w:t xml:space="preserve"> federal corporate tax at 21%, and no Texas sales tax on the service, to be confirmed with the Comptroller before launch.</w:t>
      </w:r>
    </w:p>
    <w:p>
      <w:r>
        <w:rPr>
          <w:b w:val="0"/>
          <w:i w:val="0"/>
        </w:rPr>
        <w:t>On those inputs revenue reaches $202,808 in the first year, $243,369 in the second and $292,043 in the third, growing 20% a year. Net income moves from $9,125 to $18,088 to $28,769, and break-even revenue is $175,149, about 147 clients. In the conservative scenario third-year net income is $16,496; in the upside case it is $45,345.</w:t>
      </w:r>
    </w:p>
    <w:p>
      <w:bookmarkStart w:id="65" w:name="toc_10_2"/>
      <w:pPr>
        <w:pStyle w:val="Heading2"/>
      </w:pPr>
      <w:r>
        <w:t xml:space="preserve">10.2  </w:t>
      </w:r>
      <w:r>
        <w:t>Capital Requirements and Use of Funds</w:t>
      </w:r>
      <w:bookmarkEnd w:id="65"/>
    </w:p>
    <w:p>
      <w:r>
        <w:rPr>
          <w:b w:val="0"/>
          <w:i w:val="0"/>
        </w:rPr>
        <w:t>Total startup cost is $49,300. It is funded by $40,000 of the founder's own savings and a $25,000 SBA microloan at 9.5% over five years, matched to the working life of the equipment and portal it pays for. No outside equity is raised and no profits are distributed during the projection.</w:t>
      </w:r>
    </w:p>
    <w:p>
      <w:r>
        <w:rPr>
          <w:b w:val="0"/>
          <w:i w:val="0"/>
        </w:rPr>
        <w:t>Launch marketing to referral partners and the client portal take the largest shares, followed by equipment, legal review of the contract and disclosures, and the Texas registration and bond. The breakdown is below.</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6" name="Picture 90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09402F"/>
                <w:spacing w:val="0"/>
                <w:sz w:val="24"/>
              </w:rPr>
              <w:t xml:space="preserve">●  </w:t>
            </w:r>
            <w:r>
              <w:rPr>
                <w:rFonts w:ascii="Roboto" w:hAnsi="Roboto" w:cs="Roboto"/>
                <w:b w:val="0"/>
                <w:i w:val="0"/>
                <w:color w:val="0A0A0A"/>
                <w:spacing w:val="0"/>
                <w:sz w:val="19"/>
              </w:rPr>
              <w:t>Equipment</w:t>
            </w:r>
            <w:r>
              <w:rPr>
                <w:rFonts w:ascii="Roboto Medium" w:hAnsi="Roboto Medium" w:cs="Roboto Medium"/>
                <w:b w:val="0"/>
                <w:i w:val="0"/>
                <w:color w:val="0A0A0A"/>
                <w:spacing w:val="0"/>
                <w:sz w:val="19"/>
              </w:rPr>
              <w:tab/>
              <w:t>16.2%</w:t>
            </w:r>
          </w:p>
          <w:p>
            <w:pPr>
              <w:tabs>
                <w:tab w:pos="6429" w:val="right"/>
              </w:tabs>
              <w:spacing w:before="0" w:after="113" w:line="289" w:lineRule="exact"/>
            </w:pPr>
            <w:r>
              <w:rPr>
                <w:rFonts w:ascii="Segoe UI Symbol" w:hAnsi="Segoe UI Symbol" w:cs="Segoe UI Symbol"/>
                <w:b w:val="0"/>
                <w:i w:val="0"/>
                <w:color w:val="0F6B4F"/>
                <w:spacing w:val="0"/>
                <w:sz w:val="24"/>
              </w:rPr>
              <w:t xml:space="preserve">●  </w:t>
            </w:r>
            <w:r>
              <w:rPr>
                <w:rFonts w:ascii="Roboto" w:hAnsi="Roboto" w:cs="Roboto"/>
                <w:b w:val="0"/>
                <w:i w:val="0"/>
                <w:color w:val="0A0A0A"/>
                <w:spacing w:val="0"/>
                <w:sz w:val="19"/>
              </w:rPr>
              <w:t>Furniture &amp; Office Setup</w:t>
            </w:r>
            <w:r>
              <w:rPr>
                <w:rFonts w:ascii="Roboto Medium" w:hAnsi="Roboto Medium" w:cs="Roboto Medium"/>
                <w:b w:val="0"/>
                <w:i w:val="0"/>
                <w:color w:val="0A0A0A"/>
                <w:spacing w:val="0"/>
                <w:sz w:val="19"/>
              </w:rPr>
              <w:tab/>
              <w:t>9.1%</w:t>
            </w:r>
          </w:p>
          <w:p>
            <w:pPr>
              <w:tabs>
                <w:tab w:pos="6429" w:val="right"/>
              </w:tabs>
              <w:spacing w:before="0" w:after="113" w:line="289" w:lineRule="exact"/>
            </w:pPr>
            <w:r>
              <w:rPr>
                <w:rFonts w:ascii="Segoe UI Symbol" w:hAnsi="Segoe UI Symbol" w:cs="Segoe UI Symbol"/>
                <w:b w:val="0"/>
                <w:i w:val="0"/>
                <w:color w:val="448C76"/>
                <w:spacing w:val="0"/>
                <w:sz w:val="24"/>
              </w:rPr>
              <w:t xml:space="preserve">●  </w:t>
            </w:r>
            <w:r>
              <w:rPr>
                <w:rFonts w:ascii="Roboto" w:hAnsi="Roboto" w:cs="Roboto"/>
                <w:b w:val="0"/>
                <w:i w:val="0"/>
                <w:color w:val="0A0A0A"/>
                <w:spacing w:val="0"/>
                <w:sz w:val="19"/>
              </w:rPr>
              <w:t>Client Portal &amp; Website</w:t>
            </w:r>
            <w:r>
              <w:rPr>
                <w:rFonts w:ascii="Roboto Medium" w:hAnsi="Roboto Medium" w:cs="Roboto Medium"/>
                <w:b w:val="0"/>
                <w:i w:val="0"/>
                <w:color w:val="0A0A0A"/>
                <w:spacing w:val="0"/>
                <w:sz w:val="19"/>
              </w:rPr>
              <w:tab/>
              <w:t>16.2%</w:t>
            </w:r>
          </w:p>
          <w:p>
            <w:pPr>
              <w:tabs>
                <w:tab w:pos="6429" w:val="right"/>
              </w:tabs>
              <w:spacing w:before="0" w:after="113" w:line="289" w:lineRule="exact"/>
            </w:pPr>
            <w:r>
              <w:rPr>
                <w:rFonts w:ascii="Segoe UI Symbol" w:hAnsi="Segoe UI Symbol" w:cs="Segoe UI Symbol"/>
                <w:b w:val="0"/>
                <w:i w:val="0"/>
                <w:color w:val="74A999"/>
                <w:spacing w:val="0"/>
                <w:sz w:val="24"/>
              </w:rPr>
              <w:t xml:space="preserve">●  </w:t>
            </w:r>
            <w:r>
              <w:rPr>
                <w:rFonts w:ascii="Roboto" w:hAnsi="Roboto" w:cs="Roboto"/>
                <w:b w:val="0"/>
                <w:i w:val="0"/>
                <w:color w:val="0A0A0A"/>
                <w:spacing w:val="0"/>
                <w:sz w:val="19"/>
              </w:rPr>
              <w:t>Licenses, Registration &amp; Bond</w:t>
            </w:r>
            <w:r>
              <w:rPr>
                <w:rFonts w:ascii="Roboto Medium" w:hAnsi="Roboto Medium" w:cs="Roboto Medium"/>
                <w:b w:val="0"/>
                <w:i w:val="0"/>
                <w:color w:val="0A0A0A"/>
                <w:spacing w:val="0"/>
                <w:sz w:val="19"/>
              </w:rPr>
              <w:tab/>
              <w:t>3.0%</w:t>
            </w:r>
          </w:p>
          <w:p>
            <w:pPr>
              <w:tabs>
                <w:tab w:pos="6429" w:val="right"/>
              </w:tabs>
              <w:spacing w:before="0" w:after="113" w:line="289" w:lineRule="exact"/>
            </w:pPr>
            <w:r>
              <w:rPr>
                <w:rFonts w:ascii="Segoe UI Symbol" w:hAnsi="Segoe UI Symbol" w:cs="Segoe UI Symbol"/>
                <w:b w:val="0"/>
                <w:i w:val="0"/>
                <w:color w:val="9FC4B9"/>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10.1%</w:t>
            </w:r>
          </w:p>
          <w:p>
            <w:pPr>
              <w:tabs>
                <w:tab w:pos="6429" w:val="right"/>
              </w:tabs>
              <w:spacing w:before="0" w:after="113" w:line="289" w:lineRule="exact"/>
            </w:pPr>
            <w:r>
              <w:rPr>
                <w:rFonts w:ascii="Segoe UI Symbol" w:hAnsi="Segoe UI Symbol" w:cs="Segoe UI Symbol"/>
                <w:b w:val="0"/>
                <w:i w:val="0"/>
                <w:color w:val="C5DBD5"/>
                <w:spacing w:val="0"/>
                <w:sz w:val="24"/>
              </w:rPr>
              <w:t xml:space="preserve">●  </w:t>
            </w:r>
            <w:r>
              <w:rPr>
                <w:rFonts w:ascii="Roboto" w:hAnsi="Roboto" w:cs="Roboto"/>
                <w:b w:val="0"/>
                <w:i w:val="0"/>
                <w:color w:val="0A0A0A"/>
                <w:spacing w:val="0"/>
                <w:sz w:val="19"/>
              </w:rPr>
              <w:t>Deposits &amp; First Month Rent</w:t>
            </w:r>
            <w:r>
              <w:rPr>
                <w:rFonts w:ascii="Roboto Medium" w:hAnsi="Roboto Medium" w:cs="Roboto Medium"/>
                <w:b w:val="0"/>
                <w:i w:val="0"/>
                <w:color w:val="0A0A0A"/>
                <w:spacing w:val="0"/>
                <w:sz w:val="19"/>
              </w:rPr>
              <w:tab/>
              <w:t>5.7%</w:t>
            </w:r>
          </w:p>
          <w:p>
            <w:pPr>
              <w:tabs>
                <w:tab w:pos="6429" w:val="right"/>
              </w:tabs>
              <w:spacing w:before="0" w:after="113" w:line="289" w:lineRule="exact"/>
            </w:pPr>
            <w:r>
              <w:rPr>
                <w:rFonts w:ascii="Segoe UI Symbol" w:hAnsi="Segoe UI Symbol" w:cs="Segoe UI Symbol"/>
                <w:b w:val="0"/>
                <w:i w:val="0"/>
                <w:color w:val="072F23"/>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24.3%</w:t>
            </w:r>
          </w:p>
          <w:p>
            <w:pPr>
              <w:tabs>
                <w:tab w:pos="6429" w:val="right"/>
              </w:tabs>
              <w:spacing w:before="0" w:after="113" w:line="289" w:lineRule="exact"/>
            </w:pPr>
            <w:r>
              <w:rPr>
                <w:rFonts w:ascii="Segoe UI Symbol" w:hAnsi="Segoe UI Symbol" w:cs="Segoe UI Symbol"/>
                <w:b w:val="0"/>
                <w:i w:val="0"/>
                <w:color w:val="277A61"/>
                <w:spacing w:val="0"/>
                <w:sz w:val="24"/>
              </w:rPr>
              <w:t xml:space="preserve">●  </w:t>
            </w:r>
            <w:r>
              <w:rPr>
                <w:rFonts w:ascii="Roboto" w:hAnsi="Roboto" w:cs="Roboto"/>
                <w:b w:val="0"/>
                <w:i w:val="0"/>
                <w:color w:val="0A0A0A"/>
                <w:spacing w:val="0"/>
                <w:sz w:val="19"/>
              </w:rPr>
              <w:t>Software Setup &amp; Training</w:t>
            </w:r>
            <w:r>
              <w:rPr>
                <w:rFonts w:ascii="Roboto Medium" w:hAnsi="Roboto Medium" w:cs="Roboto Medium"/>
                <w:b w:val="0"/>
                <w:i w:val="0"/>
                <w:color w:val="0A0A0A"/>
                <w:spacing w:val="0"/>
                <w:sz w:val="19"/>
              </w:rPr>
              <w:tab/>
              <w:t>7.1%</w:t>
            </w:r>
          </w:p>
          <w:p>
            <w:pPr>
              <w:tabs>
                <w:tab w:pos="6429" w:val="right"/>
              </w:tabs>
              <w:spacing w:before="0" w:after="113" w:line="289" w:lineRule="exact"/>
            </w:pPr>
            <w:r>
              <w:rPr>
                <w:rFonts w:ascii="Segoe UI Symbol" w:hAnsi="Segoe UI Symbol" w:cs="Segoe UI Symbol"/>
                <w:b w:val="0"/>
                <w:i w:val="0"/>
                <w:color w:val="09402F"/>
                <w:spacing w:val="0"/>
                <w:sz w:val="24"/>
              </w:rPr>
              <w:t xml:space="preserve">●  </w:t>
            </w:r>
            <w:r>
              <w:rPr>
                <w:rFonts w:ascii="Roboto" w:hAnsi="Roboto" w:cs="Roboto"/>
                <w:b w:val="0"/>
                <w:i w:val="0"/>
                <w:color w:val="0A0A0A"/>
                <w:spacing w:val="0"/>
                <w:sz w:val="19"/>
              </w:rPr>
              <w:t>Pre-Launch Staffing</w:t>
            </w:r>
            <w:r>
              <w:rPr>
                <w:rFonts w:ascii="Roboto Medium" w:hAnsi="Roboto Medium" w:cs="Roboto Medium"/>
                <w:b w:val="0"/>
                <w:i w:val="0"/>
                <w:color w:val="0A0A0A"/>
                <w:spacing w:val="0"/>
                <w:sz w:val="19"/>
              </w:rPr>
              <w:tab/>
              <w:t>8.1%</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&amp; Office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Client Portal &amp; Website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Registration &amp; Bond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First Month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Software Setup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Pre-Launch Staffing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$202,807.50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$243,369.00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$292,042.80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$738,219.30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$28,393.05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$34,071.66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$40,885.99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$103,350.70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$19,875.14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$23,850.16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$28,620.19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$72,345.49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$8,517.91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$10,221.50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$12,265.80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$31,005.21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$174,414.45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$209,297.34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$251,156.81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$634,868.60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$150,628.35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$174,154.02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$202,384.82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$527,167.19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$85,179.15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$102,214.98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$122,657.98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$310,052.11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$59,364.98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$64,637.97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$70,965.56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$194,968.51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$6,084.22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$7,301.07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$8,761.28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$22,146.57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$23,786.10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$35,143.32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$48,771.99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$107,701.41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$14,660.73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$17,055.02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$51,718.97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$10,346.74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$10,930.82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$31,137.56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$13,926.10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$24,796.58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$37,841.17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$76,563.85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$11,551.10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$22,896.58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$36,416.17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$70,863.85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$2,425.73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$4,808.28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$7,647.40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$14,881.41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$193,682.13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$225,280.70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$263,274.03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$682,236.86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$18,088.30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$28,768.77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$55,982.44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7.58%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$27,213.67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$27,213.67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$55,982.44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$55,982.44</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$71,968.45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$86,023.82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$110,948.88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$110,948.88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$32,528.45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$54,496.87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$87,432.32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$87,432.32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$24,193.90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$44,495.40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$75,430.56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$75,430.56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$8,334.55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$10,001.47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$12,001.76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$31,526.95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$23,516.56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$23,516.56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$51,733.69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$54,654.12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$54,654.12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$20,206.74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$31,137.56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$31,137.56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$71,968.45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$86,023.82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$110,948.88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$110,948.88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$22,843.08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$18,810.15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$14,966.44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$14,966.44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$7,843.08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$8,810.15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$9,966.44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$9,966.44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$2,333.68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$2,800.41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$3,360.49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$3,360.49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$509.40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$1,009.74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$1,605.95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$1,605.95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$67,213.67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$95,982.44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$95,982.44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$9,125.37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$27,213.67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$55,982.44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$55,982.44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$188,388.73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$234,401.01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$281,281.23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$704,070.97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$174,894.83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$206,665.82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$242,425.64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$623,986.29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$76,906.44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$88,021.40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$99,025.67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$263,953.51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$93,697.06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$112,436.48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$134,923.78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$341,057.32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$1,916.33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$4,307.94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$7,051.19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$13,275.46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$13,493.90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$27,735.19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$38,855.59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$80,084.68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$2,433.69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$2,920.43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$54,654.12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($49,300.00)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($2,433.69)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($2,920.43)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($54,654.12)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$24,193.90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$44,495.40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$253,388.73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$234,401.01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$281,281.23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$769,070.97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$229,194.83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$214,099.51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$250,346.07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$693,640.41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$24,193.90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$20,301.50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$30,935.16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$75,430.56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$24,193.90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$44,495.40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$75,430.56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$75,430.56</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$202,807.50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$446,176.50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$446,176.50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$202,807.50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$243,369.00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$292,042.80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$292,042.80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$202,807.50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$446,176.50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$738,219.30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$738,219.30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$193,682.13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$418,962.83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$418,962.83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$193,682.13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$225,280.70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$263,274.03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$263,274.03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$193,682.13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$418,962.83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$682,236.86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$682,236.86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Nov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$179,629.50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6">
        <w:r>
          <w:drawing>
            <wp:inline xmlns:a="http://schemas.openxmlformats.org/drawingml/2006/main" xmlns:pic="http://schemas.openxmlformats.org/drawingml/2006/picture">
              <wp:extent cx="6530399" cy="519139"/>
              <wp:docPr id="9057" name="Picture 90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F6B4F"/>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F6B4F"/>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0F6B4F"/>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Credit Repair Services in the US Industry Analysis, 2026, IBISWorld, 2026-01-01. </w:t>
      </w:r>
      <w:hyperlink r:id="rId67" w:history="1">
        <w:r>
          <w:rPr>
            <w:b w:val="0"/>
            <w:i w:val="0"/>
            <w:color w:val="0563C1"/>
            <w:spacing w:val="-1"/>
            <w:u w:val="single"/>
            <w:sz w:val="19"/>
            <w:szCs w:val="19"/>
          </w:rPr>
          <w:t>https:/‌/‌www.‌ibisworld.‌com/‌united-states/‌industry/‌credit-repair-services/‌5741/‌</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SRC002: Credit Repair Services in the US Market Size Statistics, IBISWorld, 2026-01-01. </w:t>
      </w:r>
      <w:hyperlink r:id="rId68" w:history="1">
        <w:r>
          <w:rPr>
            <w:b w:val="0"/>
            <w:i w:val="0"/>
            <w:color w:val="0563C1"/>
            <w:spacing w:val="-1"/>
            <w:u w:val="single"/>
            <w:sz w:val="19"/>
            <w:szCs w:val="19"/>
          </w:rPr>
          <w:t>https:/‌/‌www.‌ibisworld.‌com/‌united-states/‌market-size/‌credit-repair-services/‌5741/‌</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SRC003: Credit Repair Services in the US Number of Businesses Statistics, IBISWorld, 2026-01-01. </w:t>
      </w:r>
      <w:hyperlink r:id="rId69" w:history="1">
        <w:r>
          <w:rPr>
            <w:b w:val="0"/>
            <w:i w:val="0"/>
            <w:color w:val="0563C1"/>
            <w:spacing w:val="-1"/>
            <w:u w:val="single"/>
            <w:sz w:val="19"/>
            <w:szCs w:val="19"/>
          </w:rPr>
          <w:t>https:/‌/‌www.‌ibisworld.‌com/‌industry-statistics/‌number-of-businesses/‌credit-repair-services-united-states/‌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SRC004: Credit Repair Services in the US Employment Statistics, IBISWorld, 2026-01-01. </w:t>
      </w:r>
      <w:hyperlink r:id="rId70" w:history="1">
        <w:r>
          <w:rPr>
            <w:b w:val="0"/>
            <w:i w:val="0"/>
            <w:color w:val="0563C1"/>
            <w:spacing w:val="-1"/>
            <w:u w:val="single"/>
            <w:sz w:val="19"/>
            <w:szCs w:val="19"/>
          </w:rPr>
          <w:t>https:/‌/‌www.‌ibisworld.‌com/‌industry-statistics/‌employment/‌credit-repair-services-united-states/‌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SRC005: In FTC Study, Five Percent of Consumers Had Errors on Their Credit Reports That Could Result in Less Favorable Terms for Loans, Federal Trade Commission, 2013-02-11. </w:t>
      </w:r>
      <w:hyperlink r:id="rId71" w:history="1">
        <w:r>
          <w:rPr>
            <w:b w:val="0"/>
            <w:i w:val="0"/>
            <w:color w:val="0563C1"/>
            <w:spacing w:val="-1"/>
            <w:u w:val="single"/>
            <w:sz w:val="19"/>
            <w:szCs w:val="19"/>
          </w:rPr>
          <w:t>https:/‌/‌www.‌ftc.‌gov/‌news-events/‌news/‌press-releases/‌2013/‌02/‌ftc-study-five-percent-consumers-had-errors-their-credit-reports-could-result-less-favorable-terms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SRC006: Almost half of participants in Credit Checkup study find errors on credit reports; more than a quarter find serious mistakes, Consumer Reports and WorkMoney, 2024-04-30. </w:t>
      </w:r>
      <w:hyperlink r:id="rId72" w:history="1">
        <w:r>
          <w:rPr>
            <w:b w:val="0"/>
            <w:i w:val="0"/>
            <w:color w:val="0563C1"/>
            <w:spacing w:val="-1"/>
            <w:u w:val="single"/>
            <w:sz w:val="19"/>
            <w:szCs w:val="19"/>
          </w:rPr>
          <w:t>https:/‌/‌advocacy.‌consumerreports.‌org/‌press_‌release/‌almost-half-of-participants-in-credit-checkup-study-find-errors-on-credit-reports-more-than-a-quarter-find-serious-mistakes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SRC007: Average U.S. FICO Score Drops to 715, FICO via Business Wire, 2025-04-16. </w:t>
      </w:r>
      <w:hyperlink r:id="rId73" w:history="1">
        <w:r>
          <w:rPr>
            <w:b w:val="0"/>
            <w:i w:val="0"/>
            <w:color w:val="0563C1"/>
            <w:spacing w:val="-1"/>
            <w:u w:val="single"/>
            <w:sz w:val="19"/>
            <w:szCs w:val="19"/>
          </w:rPr>
          <w:t>https:/‌/‌www.‌businesswire.‌com/‌news/‌home/‌20250416797336/‌en/‌Average-U.‌S.‌-FICO-Score-Drops-to-715</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SRC008: FICO Score Credit Insights Report: Average FICO Score Dips to 714, FICO via Business Wire, 2026-03-24. </w:t>
      </w:r>
      <w:hyperlink r:id="rId74" w:history="1">
        <w:r>
          <w:rPr>
            <w:b w:val="0"/>
            <w:i w:val="0"/>
            <w:color w:val="0563C1"/>
            <w:spacing w:val="-1"/>
            <w:u w:val="single"/>
            <w:sz w:val="19"/>
            <w:szCs w:val="19"/>
          </w:rPr>
          <w:t>https:/‌/‌www.‌businesswire.‌com/‌news/‌home/‌20260324459421/‌en/‌FICO-Score-Credit-Insights-Report-Average-FICO-Score-Dips-to-714</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SRC009: What Is the Average Credit Score in the US?, Experian, 2026-03-30. </w:t>
      </w:r>
      <w:hyperlink r:id="rId75" w:history="1">
        <w:r>
          <w:rPr>
            <w:b w:val="0"/>
            <w:i w:val="0"/>
            <w:color w:val="0563C1"/>
            <w:spacing w:val="-1"/>
            <w:u w:val="single"/>
            <w:sz w:val="19"/>
            <w:szCs w:val="19"/>
          </w:rPr>
          <w:t>https:/‌/‌www.‌experian.‌com/‌blogs/‌ask-experian/‌what-is-the-average-credit-score-in-the-u-s/‌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SRC010: Access to Traditional Credit in the U.S. and the Fed's Eighth District, Federal Reserve Bank of St. Louis, 2025-09-25. </w:t>
      </w:r>
      <w:hyperlink r:id="rId76" w:history="1">
        <w:r>
          <w:rPr>
            <w:b w:val="0"/>
            <w:i w:val="0"/>
            <w:color w:val="0563C1"/>
            <w:spacing w:val="-1"/>
            <w:u w:val="single"/>
            <w:sz w:val="19"/>
            <w:szCs w:val="19"/>
          </w:rPr>
          <w:t>https:/‌/‌www.‌stlouisfed.‌org/‌community-development/‌publications/‌access-credit-financial-services-bridge-financial-well-being/‌access-traditional-credit-us-feds-eighth-district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SRC011: Technical Correction and Update to the CFPB's Credit Invisibles Estimate, Consumer Financial Protection Bureau, 2025-06-01. </w:t>
      </w:r>
      <w:hyperlink r:id="rId77" w:history="1">
        <w:r>
          <w:rPr>
            <w:b w:val="0"/>
            <w:i w:val="0"/>
            <w:color w:val="0563C1"/>
            <w:spacing w:val="-1"/>
            <w:u w:val="single"/>
            <w:sz w:val="19"/>
            <w:szCs w:val="19"/>
          </w:rPr>
          <w:t>https:/‌/‌files.‌consumerfinance.‌gov/‌f/‌documents/‌cfpb_‌update-credit-invisibles-estimate_‌2025-06.‌pdf</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SRC012: Medical debt: Anything already paid or under $500 should no longer be on your credit report, Consumer Financial Protection Bureau, 2023-01-01. </w:t>
      </w:r>
      <w:hyperlink r:id="rId78" w:history="1">
        <w:r>
          <w:rPr>
            <w:b w:val="0"/>
            <w:i w:val="0"/>
            <w:color w:val="0563C1"/>
            <w:spacing w:val="-1"/>
            <w:u w:val="single"/>
            <w:sz w:val="19"/>
            <w:szCs w:val="19"/>
          </w:rPr>
          <w:t>https:/‌/‌www.‌consumerfinance.‌gov/‌archive/‌blog/‌medical-debt-anything-already-paid-or-under-500-should-no-longer-be-on-your-credit-report/‌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SRC013: Federal Judge Vacates CFPB Medical Debt Rule, Consumer Finance Monitor (Ballard Spahr), 2025-07-15. </w:t>
      </w:r>
      <w:hyperlink r:id="rId79" w:history="1">
        <w:r>
          <w:rPr>
            <w:b w:val="0"/>
            <w:i w:val="0"/>
            <w:color w:val="0563C1"/>
            <w:spacing w:val="-1"/>
            <w:u w:val="single"/>
            <w:sz w:val="19"/>
            <w:szCs w:val="19"/>
          </w:rPr>
          <w:t>https:/‌/‌www.‌consumerfinancemonitor.‌com/‌2025/‌07/‌15/‌federal-judge-vacates-cfpb-medical-debt-rule/‌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SRC014: The best credit repair companies of October 2026, CNBC Select, 2026-09-30. </w:t>
      </w:r>
      <w:hyperlink r:id="rId80" w:history="1">
        <w:r>
          <w:rPr>
            <w:b w:val="0"/>
            <w:i w:val="0"/>
            <w:color w:val="0563C1"/>
            <w:spacing w:val="-1"/>
            <w:u w:val="single"/>
            <w:sz w:val="19"/>
            <w:szCs w:val="19"/>
          </w:rPr>
          <w:t>https:/‌/‌www.‌cnbc.‌com/‌select/‌best-credit-repair-companies/‌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SRC015: How Much Does Credit Repair Cost?, Experian, 2024-05-25. </w:t>
      </w:r>
      <w:hyperlink r:id="rId81" w:history="1">
        <w:r>
          <w:rPr>
            <w:b w:val="0"/>
            <w:i w:val="0"/>
            <w:color w:val="0563C1"/>
            <w:spacing w:val="-1"/>
            <w:u w:val="single"/>
            <w:sz w:val="19"/>
            <w:szCs w:val="19"/>
          </w:rPr>
          <w:t>https:/‌/‌www.‌experian.‌com/‌blogs/‌ask-experian/‌how-much-does-credit-repair-cost/‌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SRC016: How long does credit repair take?, Debt.com. </w:t>
      </w:r>
      <w:hyperlink r:id="rId82" w:history="1">
        <w:r>
          <w:rPr>
            <w:b w:val="0"/>
            <w:i w:val="0"/>
            <w:color w:val="0563C1"/>
            <w:spacing w:val="-1"/>
            <w:u w:val="single"/>
            <w:sz w:val="19"/>
            <w:szCs w:val="19"/>
          </w:rPr>
          <w:t>https:/‌/‌debt.‌com/‌credit-repair/‌how-long-does-credit-repair-take/‌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SRC017: Credit Repair Survey, FinMasters. </w:t>
      </w:r>
      <w:hyperlink r:id="rId83" w:history="1">
        <w:r>
          <w:rPr>
            <w:b w:val="0"/>
            <w:i w:val="0"/>
            <w:color w:val="0563C1"/>
            <w:spacing w:val="-1"/>
            <w:u w:val="single"/>
            <w:sz w:val="19"/>
            <w:szCs w:val="19"/>
          </w:rPr>
          <w:t>https:/‌/‌finmasters.‌com/‌credit-repair-survey/‌</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SRC018: 15 U.S. Code 1679c, Disclosures (Credit Repair Organizations Act), Cornell Legal Information Institute. </w:t>
      </w:r>
      <w:hyperlink r:id="rId84" w:history="1">
        <w:r>
          <w:rPr>
            <w:b w:val="0"/>
            <w:i w:val="0"/>
            <w:color w:val="0563C1"/>
            <w:spacing w:val="-1"/>
            <w:u w:val="single"/>
            <w:sz w:val="19"/>
            <w:szCs w:val="19"/>
          </w:rPr>
          <w:t>https:/‌/‌www.‌law.‌cornell.‌edu/‌uscode/‌text/‌15/‌1679c</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SRC019: 15 U.S. Code 1681i, Procedure in case of disputed accuracy, Cornell Legal Information Institute. </w:t>
      </w:r>
      <w:hyperlink r:id="rId85" w:history="1">
        <w:r>
          <w:rPr>
            <w:b w:val="0"/>
            <w:i w:val="0"/>
            <w:color w:val="0563C1"/>
            <w:spacing w:val="-1"/>
            <w:u w:val="single"/>
            <w:sz w:val="19"/>
            <w:szCs w:val="19"/>
          </w:rPr>
          <w:t>https:/‌/‌www.‌law.‌cornell.‌edu/‌uscode/‌text/‌15/‌1681i</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SRC020: CFPB Reaches Multibillion Dollar Settlement with Credit Repair Conglomerate, Consumer Financial Protection Bureau, 2023-08-28. </w:t>
      </w:r>
      <w:hyperlink r:id="rId86" w:history="1">
        <w:r>
          <w:rPr>
            <w:b w:val="0"/>
            <w:i w:val="0"/>
            <w:color w:val="0563C1"/>
            <w:spacing w:val="-1"/>
            <w:u w:val="single"/>
            <w:sz w:val="19"/>
            <w:szCs w:val="19"/>
          </w:rPr>
          <w:t>https:/‌/‌www.‌consumerfinance.‌gov/‌about-us/‌newsroom/‌cfpb-reaches-multibillion-dollar-settlement-with-credit-repair-conglomerate/‌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SRC021: Fixing Your Credit FAQs, Federal Trade Commission, 2023-11-01. </w:t>
      </w:r>
      <w:hyperlink r:id="rId87" w:history="1">
        <w:r>
          <w:rPr>
            <w:b w:val="0"/>
            <w:i w:val="0"/>
            <w:color w:val="0563C1"/>
            <w:spacing w:val="-1"/>
            <w:u w:val="single"/>
            <w:sz w:val="19"/>
            <w:szCs w:val="19"/>
          </w:rPr>
          <w:t>https:/‌/‌consumer.‌ftc.‌gov/‌articles/‌fixing-your-credit-faqs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SRC022: What States Can Do About Credit Repair Abuses, National Consumer Law Center, 2022-01-01. </w:t>
      </w:r>
      <w:hyperlink r:id="rId88" w:history="1">
        <w:r>
          <w:rPr>
            <w:b w:val="0"/>
            <w:i w:val="0"/>
            <w:color w:val="0563C1"/>
            <w:spacing w:val="-1"/>
            <w:u w:val="single"/>
            <w:sz w:val="19"/>
            <w:szCs w:val="19"/>
          </w:rPr>
          <w:t>https:/‌/‌www.‌nclc.‌org/‌wp-content/‌uploads/‌2022/‌09/‌IB_‌State_‌Credit_‌Repair_‌Abuses.‌pdf</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SRC023: CFPB Announces Return of $1.8 Billion in Illegal Junk Fees to 4.3 Million Americans Harmed in Massive Credit Repair Scheme, Consumer Financial Protection Bureau, 2024-12-05. </w:t>
      </w:r>
      <w:hyperlink r:id="rId89" w:history="1">
        <w:r>
          <w:rPr>
            <w:b w:val="0"/>
            <w:i w:val="0"/>
            <w:color w:val="0563C1"/>
            <w:spacing w:val="-1"/>
            <w:u w:val="single"/>
            <w:sz w:val="19"/>
            <w:szCs w:val="19"/>
          </w:rPr>
          <w:t>https:/‌/‌www.‌consumerfinance.‌gov/‌archive/‌newsroom/‌cfpb-announces-return-of-1-8-billion-in-illegal-junk-fees-to-4-3-million-americans-harmed-in-massive-credit-repair-scheme/‌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SRC024: Daniel A. Rosen, Inc. d/b/a Credit Repair Cloud and Daniel Rosen, Consumer Financial Protection Bureau, 2024-08-12. </w:t>
      </w:r>
      <w:hyperlink r:id="rId90" w:history="1">
        <w:r>
          <w:rPr>
            <w:b w:val="0"/>
            <w:i w:val="0"/>
            <w:color w:val="0563C1"/>
            <w:spacing w:val="-1"/>
            <w:u w:val="single"/>
            <w:sz w:val="19"/>
            <w:szCs w:val="19"/>
          </w:rPr>
          <w:t>https:/‌/‌www.‌consumerfinance.‌gov/‌enforcement/‌actions/‌daniel-a-rosen-inc-dba-credit-repair-cloud-and-daniel-rosen/‌</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SRC025: FTC Sends More Than $10.9 Million to Consumers Harmed by Credit Repair Pyramid Scheme, Federal Trade Commission, 2026-03-17. </w:t>
      </w:r>
      <w:hyperlink r:id="rId91" w:history="1">
        <w:r>
          <w:rPr>
            <w:b w:val="0"/>
            <w:i w:val="0"/>
            <w:color w:val="0563C1"/>
            <w:spacing w:val="-1"/>
            <w:u w:val="single"/>
            <w:sz w:val="19"/>
            <w:szCs w:val="19"/>
          </w:rPr>
          <w:t>https:/‌/‌www.‌ftc.‌gov/‌news-events/‌news/‌press-releases/‌2026/‌03/‌ftc-sends-more-109-million-consumers-harmed-credit-repair-pyramid-scheme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SRC026: Consumer Response Annual Report, January 1 to December 31, 2025, Consumer Financial Protection Bureau, 2026-03-01. </w:t>
      </w:r>
      <w:hyperlink r:id="rId92" w:history="1">
        <w:r>
          <w:rPr>
            <w:b w:val="0"/>
            <w:i w:val="0"/>
            <w:color w:val="0563C1"/>
            <w:spacing w:val="-1"/>
            <w:u w:val="single"/>
            <w:sz w:val="19"/>
            <w:szCs w:val="19"/>
          </w:rPr>
          <w:t>https:/‌/‌files.‌consumerfinance.‌gov/‌f/‌documents/‌cfpb_‌2025-cr-annual-report_‌2026-03.‌pdf</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SRC027: Key Dimensions and Processes in the U.S. Credit Reporting System, Consumer Financial Protection Bureau, 2012-12-01. </w:t>
      </w:r>
      <w:hyperlink r:id="rId93" w:history="1">
        <w:r>
          <w:rPr>
            <w:b w:val="0"/>
            <w:i w:val="0"/>
            <w:color w:val="0563C1"/>
            <w:spacing w:val="-1"/>
            <w:u w:val="single"/>
            <w:sz w:val="19"/>
            <w:szCs w:val="19"/>
          </w:rPr>
          <w:t>https:/‌/‌files.‌consumerfinance.‌gov/‌f/‌201212_‌cfpb_‌credit-reporting-white-paper.‌pdf</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SRC028: Credit Repair Cloud Pricing, Credit Repair Cloud, 2026-10-01. </w:t>
      </w:r>
      <w:hyperlink r:id="rId94" w:history="1">
        <w:r>
          <w:rPr>
            <w:b w:val="0"/>
            <w:i w:val="0"/>
            <w:color w:val="0563C1"/>
            <w:spacing w:val="-1"/>
            <w:u w:val="single"/>
            <w:sz w:val="19"/>
            <w:szCs w:val="19"/>
          </w:rPr>
          <w:t>https:/‌/‌www.‌creditrepaircloud.‌com/‌pricing</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SRC029: DisputeFox Pricing, DisputeFox, 2026-10-01. </w:t>
      </w:r>
      <w:hyperlink r:id="rId95" w:history="1">
        <w:r>
          <w:rPr>
            <w:b w:val="0"/>
            <w:i w:val="0"/>
            <w:color w:val="0563C1"/>
            <w:spacing w:val="-1"/>
            <w:u w:val="single"/>
            <w:sz w:val="19"/>
            <w:szCs w:val="19"/>
          </w:rPr>
          <w:t>https:/‌/‌www.‌disputefox.‌com/‌pricing</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SRC030: What is the minimum down payment requirement for FHA?, U.S. Department of Housing and Urban Development. </w:t>
      </w:r>
      <w:hyperlink r:id="rId96" w:history="1">
        <w:r>
          <w:rPr>
            <w:b w:val="0"/>
            <w:i w:val="0"/>
            <w:color w:val="0563C1"/>
            <w:spacing w:val="-1"/>
            <w:u w:val="single"/>
            <w:sz w:val="19"/>
            <w:szCs w:val="19"/>
          </w:rPr>
          <w:t>https:/‌/‌answers.‌hud.‌gov/‌FHA/‌s/‌article/‌What-is-the-minimum-down-payment-requirement-for-FHA</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SRC031: Fannie Mae scraps minimum credit score for DU loans, Mortgage Professional America, 2025-11-07. </w:t>
      </w:r>
      <w:hyperlink r:id="rId97" w:history="1">
        <w:r>
          <w:rPr>
            <w:b w:val="0"/>
            <w:i w:val="0"/>
            <w:color w:val="0563C1"/>
            <w:spacing w:val="-1"/>
            <w:u w:val="single"/>
            <w:sz w:val="19"/>
            <w:szCs w:val="19"/>
          </w:rPr>
          <w:t>https:/‌/‌www.‌mpamag.‌com/‌us/‌mortgage-industry/‌industry-trends/‌fannie-mae-scraps-minimum-credit-score-for-du-loans/‌555870</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SRC032: Average Car Loan Interest Rates by Credit Score, Experian, 2026-09-10. </w:t>
      </w:r>
      <w:hyperlink r:id="rId98" w:history="1">
        <w:r>
          <w:rPr>
            <w:b w:val="0"/>
            <w:i w:val="0"/>
            <w:color w:val="0563C1"/>
            <w:spacing w:val="-1"/>
            <w:u w:val="single"/>
            <w:sz w:val="19"/>
            <w:szCs w:val="19"/>
          </w:rPr>
          <w:t>https:/‌/‌experian.‌com/‌blogs/‌ask-experian/‌average-car-loan-interest-rates-by-credit-score/‌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SRC033: Household Debt Balances Decreased Slightly; Credit Card Delinquency Transition Rates Remained Steady, Federal Reserve Bank of New York, 2026-08-11. </w:t>
      </w:r>
      <w:hyperlink r:id="rId99" w:history="1">
        <w:r>
          <w:rPr>
            <w:b w:val="0"/>
            <w:i w:val="0"/>
            <w:color w:val="0563C1"/>
            <w:spacing w:val="-1"/>
            <w:u w:val="single"/>
            <w:sz w:val="19"/>
            <w:szCs w:val="19"/>
          </w:rPr>
          <w:t>https:/‌/‌www.‌newyorkfed.‌org/‌newsevents/‌news/‌research/‌2026/‌20260811</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SRC034: Student Loan Delinquencies Are Back, and Credit Scores Take a Tumble, Federal Reserve Bank of New York, Liberty Street Economics, 2025-05-13. </w:t>
      </w:r>
      <w:hyperlink r:id="rId100" w:history="1">
        <w:r>
          <w:rPr>
            <w:b w:val="0"/>
            <w:i w:val="0"/>
            <w:color w:val="0563C1"/>
            <w:spacing w:val="-1"/>
            <w:u w:val="single"/>
            <w:sz w:val="19"/>
            <w:szCs w:val="19"/>
          </w:rPr>
          <w:t>https:/‌/‌libertystreeteconomics.‌newyorkfed.‌org/‌2025/‌05/‌student-loan-delinquencies-are-back-and-credit-scores-take-a-tumble</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SRC035: Members, National Foundation for Credit Counseling. </w:t>
      </w:r>
      <w:hyperlink r:id="rId101" w:history="1">
        <w:r>
          <w:rPr>
            <w:b w:val="0"/>
            <w:i w:val="0"/>
            <w:color w:val="0563C1"/>
            <w:spacing w:val="-1"/>
            <w:u w:val="single"/>
            <w:sz w:val="19"/>
            <w:szCs w:val="19"/>
          </w:rPr>
          <w:t>https:/‌/‌nfcc.‌org/‌members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SRC036: Equifax, Experian and TransUnion Support U.S. Consumers With Permanent Extension of Free Weekly Credit Reports, Consumer Data Industry Association, 2023-09-18. </w:t>
      </w:r>
      <w:hyperlink r:id="rId102" w:history="1">
        <w:r>
          <w:rPr>
            <w:b w:val="0"/>
            <w:i w:val="0"/>
            <w:color w:val="0563C1"/>
            <w:spacing w:val="-1"/>
            <w:u w:val="single"/>
            <w:sz w:val="19"/>
            <w:szCs w:val="19"/>
          </w:rPr>
          <w:t>https:/‌/‌www.‌cdiaonline.‌org/‌news/‌2023/‌09/‌18/‌equifax-experian-and-transunion-support-u-s-consumers-with-permanent-extension-of-free-weekly-credit-reports/‌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SRC037: Survey: 4 in 5 Americans Are Trying to Improve Their Credit, NerdWallet, 2023-11-14. </w:t>
      </w:r>
      <w:hyperlink r:id="rId103" w:history="1">
        <w:r>
          <w:rPr>
            <w:b w:val="0"/>
            <w:i w:val="0"/>
            <w:color w:val="0563C1"/>
            <w:spacing w:val="-1"/>
            <w:u w:val="single"/>
            <w:sz w:val="19"/>
            <w:szCs w:val="19"/>
          </w:rPr>
          <w:t>https:/‌/‌www.‌nerdwallet.‌com/‌article/‌finance/‌survey-4-in-5-americans-are-trying-to-improve-their-credit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SRC038: U.S. Population Growth Slows in 2025, NAHB Eye on Housing, 2026-02-02. </w:t>
      </w:r>
      <w:hyperlink r:id="rId104" w:history="1">
        <w:r>
          <w:rPr>
            <w:b w:val="0"/>
            <w:i w:val="0"/>
            <w:color w:val="0563C1"/>
            <w:spacing w:val="-1"/>
            <w:u w:val="single"/>
            <w:sz w:val="19"/>
            <w:szCs w:val="19"/>
          </w:rPr>
          <w:t>https:/‌/‌eyeonhousing.‌org/‌2026/‌02/‌u-s-population-growth-slows-in-2025/‌</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SRC039: Texas population 2025 census, The Texas Tribune, 2026-01-27. </w:t>
      </w:r>
      <w:hyperlink r:id="rId105" w:history="1">
        <w:r>
          <w:rPr>
            <w:b w:val="0"/>
            <w:i w:val="0"/>
            <w:color w:val="0563C1"/>
            <w:spacing w:val="-1"/>
            <w:u w:val="single"/>
            <w:sz w:val="19"/>
            <w:szCs w:val="19"/>
          </w:rPr>
          <w:t>https:/‌/‌www.‌texastribune.‌org/‌2026/‌01/‌27/‌texas-population-2025-census/‌</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SRC040: Debt in America: An Interactive Map, Urban Institute, 2025-11-20. </w:t>
      </w:r>
      <w:hyperlink r:id="rId106" w:history="1">
        <w:r>
          <w:rPr>
            <w:b w:val="0"/>
            <w:i w:val="0"/>
            <w:color w:val="0563C1"/>
            <w:spacing w:val="-1"/>
            <w:u w:val="single"/>
            <w:sz w:val="19"/>
            <w:szCs w:val="19"/>
          </w:rPr>
          <w:t>https:/‌/‌apps.‌urban.‌org/‌features/‌debt-interactive-map/‌</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SRC041: Texas Finance Code Chapter 393, Credit Services Organizations, Texas Legislature (via Texas Public Law). </w:t>
      </w:r>
      <w:hyperlink r:id="rId107" w:history="1">
        <w:r>
          <w:rPr>
            <w:b w:val="0"/>
            <w:i w:val="0"/>
            <w:color w:val="0563C1"/>
            <w:spacing w:val="-1"/>
            <w:u w:val="single"/>
            <w:sz w:val="19"/>
            <w:szCs w:val="19"/>
          </w:rPr>
          <w:t>https:/‌/‌statutes.‌capitol.‌texas.‌gov/‌Docs/‌FI/‌htm/‌FI.‌393.‌htm</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SRC042: Credit Services Organization Registration Statement (Form 2801), Texas Secretary of State, 2026-04-01. </w:t>
      </w:r>
      <w:hyperlink r:id="rId108" w:history="1">
        <w:r>
          <w:rPr>
            <w:b w:val="0"/>
            <w:i w:val="0"/>
            <w:color w:val="0563C1"/>
            <w:spacing w:val="-1"/>
            <w:u w:val="single"/>
            <w:sz w:val="19"/>
            <w:szCs w:val="19"/>
          </w:rPr>
          <w:t>https:/‌/‌www.‌sos.‌texas.‌gov/‌statdoc/‌forms/‌2801.‌pdf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SRC043: Credit Services Organization Surety Bond (Form 2802), Texas Secretary of State, 2026-04-01. </w:t>
      </w:r>
      <w:hyperlink r:id="rId109" w:history="1">
        <w:r>
          <w:rPr>
            <w:b w:val="0"/>
            <w:i w:val="0"/>
            <w:color w:val="0563C1"/>
            <w:spacing w:val="-1"/>
            <w:u w:val="single"/>
            <w:sz w:val="19"/>
            <w:szCs w:val="19"/>
          </w:rPr>
          <w:t>https:/‌/‌www.‌sos.‌texas.‌gov/‌statdoc/‌forms/‌2802.‌pdf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SRC044: Resident Population in Dallas-Fort Worth-Arlington, TX (MSA), Federal Reserve Bank of St. Louis (FRED), source US Census Bureau, 2026-01-01. </w:t>
      </w:r>
      <w:hyperlink r:id="rId110" w:history="1">
        <w:r>
          <w:rPr>
            <w:b w:val="0"/>
            <w:i w:val="0"/>
            <w:color w:val="0563C1"/>
            <w:spacing w:val="-1"/>
            <w:u w:val="single"/>
            <w:sz w:val="19"/>
            <w:szCs w:val="19"/>
          </w:rPr>
          <w:t>https:/‌/‌fred.‌stlouisfed.‌org/‌series/‌DFWPOP</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SRC045: Homeownership Rate for Texas, Federal Reserve Bank of St. Louis (FRED), source US Census Bureau, 2026-01-01. </w:t>
      </w:r>
      <w:hyperlink r:id="rId111" w:history="1">
        <w:r>
          <w:rPr>
            <w:b w:val="0"/>
            <w:i w:val="0"/>
            <w:color w:val="0563C1"/>
            <w:spacing w:val="-1"/>
            <w:u w:val="single"/>
            <w:sz w:val="19"/>
            <w:szCs w:val="19"/>
          </w:rPr>
          <w:t>https:/‌/‌fred.‌stlouisfed.‌org/‌series/‌TXHOWN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SRC046: Median home price rises across Texas despite declines in 4 major markets, Houston Agent Magazine, 2026-03-12. </w:t>
      </w:r>
      <w:hyperlink r:id="rId112" w:history="1">
        <w:r>
          <w:rPr>
            <w:b w:val="0"/>
            <w:i w:val="0"/>
            <w:color w:val="0563C1"/>
            <w:spacing w:val="-1"/>
            <w:u w:val="single"/>
            <w:sz w:val="19"/>
            <w:szCs w:val="19"/>
          </w:rPr>
          <w:t>https:/‌/‌houstonagentmagazine.‌com/‌2026/‌03/‌12/‌texas-realtors-2025-year-in-review/‌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SRC047: First-time buyers fall close to their lowest-ever market share in Texas, Mortgage Professional America, 2026-04-13. </w:t>
      </w:r>
      <w:hyperlink r:id="rId113" w:history="1">
        <w:r>
          <w:rPr>
            <w:b w:val="0"/>
            <w:i w:val="0"/>
            <w:color w:val="0563C1"/>
            <w:spacing w:val="-1"/>
            <w:u w:val="single"/>
            <w:sz w:val="19"/>
            <w:szCs w:val="19"/>
          </w:rPr>
          <w:t>https:/‌/‌www.‌mpamag.‌com/‌us/‌news/‌general/‌first-time-buyers-fall-close-to-their-lowest-ever-market-share-in-texas/‌571541</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SRC048: New Census Data Reflect Rising Challenges in Texas on Health Insurance, Poverty, and Income Inequality, Every Texan, 2025-09-11. </w:t>
      </w:r>
      <w:hyperlink r:id="rId114" w:history="1">
        <w:r>
          <w:rPr>
            <w:b w:val="0"/>
            <w:i w:val="0"/>
            <w:color w:val="0563C1"/>
            <w:spacing w:val="-1"/>
            <w:u w:val="single"/>
            <w:sz w:val="19"/>
            <w:szCs w:val="19"/>
          </w:rPr>
          <w:t>https:/‌/‌everytexan.‌org/‌?‌p=‌29442</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SRC049: MSI Credit Solutions Credit Repair Review, SuperMoney, 2024-06-21. </w:t>
      </w:r>
      <w:hyperlink r:id="rId115" w:history="1">
        <w:r>
          <w:rPr>
            <w:b w:val="0"/>
            <w:i w:val="0"/>
            <w:color w:val="0563C1"/>
            <w:spacing w:val="-1"/>
            <w:u w:val="single"/>
            <w:sz w:val="19"/>
            <w:szCs w:val="19"/>
          </w:rPr>
          <w:t>https:/‌/‌www.‌supermoney.‌com/‌reviews/‌credit-repair/‌msi-credit-solutions-credit-repair</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SRC050: Credit Texan, Credit Texan, 2026-10-01. </w:t>
      </w:r>
      <w:hyperlink r:id="rId116" w:history="1">
        <w:r>
          <w:rPr>
            <w:b w:val="0"/>
            <w:i w:val="0"/>
            <w:color w:val="0563C1"/>
            <w:spacing w:val="-1"/>
            <w:u w:val="single"/>
            <w:sz w:val="19"/>
            <w:szCs w:val="19"/>
          </w:rPr>
          <w:t>https:/‌/‌credittexan.‌com/‌</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SRC051: FFIEC HMDA Data Browser, Consumer Financial Protection Bureau and FFIEC, 2026-10-01. </w:t>
      </w:r>
      <w:hyperlink r:id="rId117" w:history="1">
        <w:r>
          <w:rPr>
            <w:b w:val="0"/>
            <w:i w:val="0"/>
            <w:color w:val="0563C1"/>
            <w:spacing w:val="-1"/>
            <w:u w:val="single"/>
            <w:sz w:val="19"/>
            <w:szCs w:val="19"/>
          </w:rPr>
          <w:t>https:/‌/‌ffiec.‌cfpb.‌gov/‌data-browser/‌</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SRC052: Broker and Sales Agent License Holder Information, Texas Real Estate Commission, 2026-10-07. </w:t>
      </w:r>
      <w:hyperlink r:id="rId118" w:history="1">
        <w:r>
          <w:rPr>
            <w:b w:val="0"/>
            <w:i w:val="0"/>
            <w:color w:val="0563C1"/>
            <w:spacing w:val="-1"/>
            <w:u w:val="single"/>
            <w:sz w:val="19"/>
            <w:szCs w:val="19"/>
          </w:rPr>
          <w:t>https:/‌/‌data.‌texas.‌gov/‌resource/‌s7ft-44qi.‌json</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SRC053: Money Management International, Wikipedia. </w:t>
      </w:r>
      <w:hyperlink r:id="rId119" w:history="1">
        <w:r>
          <w:rPr>
            <w:b w:val="0"/>
            <w:i w:val="0"/>
            <w:color w:val="0563C1"/>
            <w:spacing w:val="-1"/>
            <w:u w:val="single"/>
            <w:sz w:val="19"/>
            <w:szCs w:val="19"/>
          </w:rPr>
          <w:t>https:/‌/‌en.‌wikipedia.‌org/‌wiki/‌Money_‌Management_‌International</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8" name="Upmetrics CTA 1"/>
            <wp:cNvGraphicFramePr>
              <a:graphicFrameLocks noChangeAspect="1"/>
            </wp:cNvGraphicFramePr>
            <a:graphic>
              <a:graphicData uri="http://schemas.openxmlformats.org/drawingml/2006/picture">
                <pic:pic>
                  <pic:nvPicPr>
                    <pic:cNvPr id="0" name="Upmetrics CTA 1"/>
                    <pic:cNvPicPr/>
                  </pic:nvPicPr>
                  <pic:blipFill>
                    <a:blip r:embed="rId120"/>
                    <a:stretch>
                      <a:fillRect/>
                    </a:stretch>
                  </pic:blipFill>
                  <pic:spPr>
                    <a:xfrm>
                      <a:off x="0" y="0"/>
                      <a:ext cx="7560310" cy="10692130"/>
                    </a:xfrm>
                    <a:prstGeom prst="rect">
                      <a:avLst/>
                    </a:prstGeom>
                  </pic:spPr>
                </pic:pic>
              </a:graphicData>
            </a:graphic>
          </wp:anchor>
        </w:drawing>
      </w:r>
      <w:hyperlink r:id="rId12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9" name="Upmetrics CTA 1 button 1">
                <a:hlinkClick r:id="rId122"/>
              </wp:docPr>
              <wp:cNvGraphicFramePr>
                <a:graphicFrameLocks noChangeAspect="1"/>
              </wp:cNvGraphicFramePr>
              <a:graphic>
                <a:graphicData uri="http://schemas.openxmlformats.org/drawingml/2006/picture">
                  <pic:pic>
                    <pic:nvPicPr>
                      <pic:cNvPr id="0" name="Upmetrics CTA 1 button 1"/>
                      <pic:cNvPicPr/>
                    </pic:nvPicPr>
                    <pic:blipFill>
                      <a:blip r:embed="rId121"/>
                      <a:stretch>
                        <a:fillRect/>
                      </a:stretch>
                    </pic:blipFill>
                    <pic:spPr>
                      <a:xfrm>
                        <a:off x="0" y="0"/>
                        <a:ext cx="2594278" cy="391891"/>
                      </a:xfrm>
                      <a:prstGeom prst="rect">
                        <a:avLst/>
                      </a:prstGeom>
                    </pic:spPr>
                  </pic:pic>
                </a:graphicData>
              </a:graphic>
            </wp:anchor>
          </w:drawing>
        </w:r>
      </w:hyperlink>
      <w:hyperlink r:id="rId12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0" name="Upmetrics CTA 1 button 2">
                <a:hlinkClick r:id="rId122"/>
              </wp:docPr>
              <wp:cNvGraphicFramePr>
                <a:graphicFrameLocks noChangeAspect="1"/>
              </wp:cNvGraphicFramePr>
              <a:graphic>
                <a:graphicData uri="http://schemas.openxmlformats.org/drawingml/2006/picture">
                  <pic:pic>
                    <pic:nvPicPr>
                      <pic:cNvPr id="0" name="Upmetrics CTA 1 button 2"/>
                      <pic:cNvPicPr/>
                    </pic:nvPicPr>
                    <pic:blipFill>
                      <a:blip r:embed="rId123"/>
                      <a:stretch>
                        <a:fillRect/>
                      </a:stretch>
                    </pic:blipFill>
                    <pic:spPr>
                      <a:xfrm>
                        <a:off x="0" y="0"/>
                        <a:ext cx="2571419" cy="248641"/>
                      </a:xfrm>
                      <a:prstGeom prst="rect">
                        <a:avLst/>
                      </a:prstGeom>
                    </pic:spPr>
                  </pic:pic>
                </a:graphicData>
              </a:graphic>
            </wp:anchor>
          </w:drawing>
        </w:r>
      </w:hyperlink>
      <w:hyperlink r:id="rId12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1" name="Upmetrics CTA 1 button 3">
                <a:hlinkClick r:id="rId125"/>
              </wp:docPr>
              <wp:cNvGraphicFramePr>
                <a:graphicFrameLocks noChangeAspect="1"/>
              </wp:cNvGraphicFramePr>
              <a:graphic>
                <a:graphicData uri="http://schemas.openxmlformats.org/drawingml/2006/picture">
                  <pic:pic>
                    <pic:nvPicPr>
                      <pic:cNvPr id="0" name="Upmetrics CTA 1 button 3"/>
                      <pic:cNvPicPr/>
                    </pic:nvPicPr>
                    <pic:blipFill>
                      <a:blip r:embed="rId124"/>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ADB0BED9-C7A3-4012-960A-46243D06BD4D}"/>
    <w:embedBold r:id="rId2" w:fontKey="{5500C498-F778-4510-A452-6E6F0669B799}"/>
  </w:font>
  <w:font w:name="Roboto Bold">
    <w:charset w:val="00"/>
    <w:family w:val="auto"/>
    <w:pitch w:val="variable"/>
    <w:embedRegular r:id="rId3" w:fontKey="{E328C0F1-3BDA-4420-8F23-BDF508730654}"/>
  </w:font>
  <w:font w:name="Roboto Medium">
    <w:charset w:val="00"/>
    <w:family w:val="auto"/>
    <w:pitch w:val="variable"/>
    <w:embedRegular r:id="rId4" w:fontKey="{2DEA798D-C1DA-4250-99FD-DE7689A51BE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Bluecrest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0F6B4F"/>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0F6B4F"/>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jp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hyperlink" Target="https://upmetrics.co/features/ai-business-plan-writing-assistant" TargetMode="External"/><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hyperlink" Target="mailto:marcus@bluecrest.example" TargetMode="External"/><Relationship Id="rId57" Type="http://schemas.openxmlformats.org/officeDocument/2006/relationships/image" Target="media/image42.jpg"/><Relationship Id="rId58" Type="http://schemas.openxmlformats.org/officeDocument/2006/relationships/hyperlink" Target="mailto:rachel@bluecrest.example" TargetMode="External"/><Relationship Id="rId59" Type="http://schemas.openxmlformats.org/officeDocument/2006/relationships/image" Target="media/image43.png"/><Relationship Id="rId60" Type="http://schemas.openxmlformats.org/officeDocument/2006/relationships/hyperlink" Target="mailto:kevin@bluecrest.example" TargetMode="External"/><Relationship Id="rId61" Type="http://schemas.openxmlformats.org/officeDocument/2006/relationships/image" Target="media/image44.png"/><Relationship Id="rId62" Type="http://schemas.openxmlformats.org/officeDocument/2006/relationships/image" Target="media/image45.png"/><Relationship Id="rId63" Type="http://schemas.openxmlformats.org/officeDocument/2006/relationships/hyperlink" Target="https://upmetrics.co/features/business-plan-collaboration" TargetMode="External"/><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hyperlink" Target="https://upmetrics.co/features/financial-forecasting" TargetMode="External"/><Relationship Id="rId67" Type="http://schemas.openxmlformats.org/officeDocument/2006/relationships/hyperlink" Target="https://www.ibisworld.com/united-states/industry/credit-repair-services/5741/" TargetMode="External"/><Relationship Id="rId68" Type="http://schemas.openxmlformats.org/officeDocument/2006/relationships/hyperlink" Target="https://www.ibisworld.com/united-states/market-size/credit-repair-services/5741/" TargetMode="External"/><Relationship Id="rId69" Type="http://schemas.openxmlformats.org/officeDocument/2006/relationships/hyperlink" Target="https://www.ibisworld.com/industry-statistics/number-of-businesses/credit-repair-services-united-states/" TargetMode="External"/><Relationship Id="rId70" Type="http://schemas.openxmlformats.org/officeDocument/2006/relationships/hyperlink" Target="https://www.ibisworld.com/industry-statistics/employment/credit-repair-services-united-states/" TargetMode="External"/><Relationship Id="rId71" Type="http://schemas.openxmlformats.org/officeDocument/2006/relationships/hyperlink" Target="https://www.ftc.gov/news-events/news/press-releases/2013/02/ftc-study-five-percent-consumers-had-errors-their-credit-reports-could-result-less-favorable-terms" TargetMode="External"/><Relationship Id="rId72" Type="http://schemas.openxmlformats.org/officeDocument/2006/relationships/hyperlink" Target="https://advocacy.consumerreports.org/press_release/almost-half-of-participants-in-credit-checkup-study-find-errors-on-credit-reports-more-than-a-quarter-find-serious-mistakes" TargetMode="External"/><Relationship Id="rId73" Type="http://schemas.openxmlformats.org/officeDocument/2006/relationships/hyperlink" Target="https://www.businesswire.com/news/home/20250416797336/en/Average-U.S.-FICO-Score-Drops-to-715" TargetMode="External"/><Relationship Id="rId74" Type="http://schemas.openxmlformats.org/officeDocument/2006/relationships/hyperlink" Target="https://www.businesswire.com/news/home/20260324459421/en/FICO-Score-Credit-Insights-Report-Average-FICO-Score-Dips-to-714" TargetMode="External"/><Relationship Id="rId75" Type="http://schemas.openxmlformats.org/officeDocument/2006/relationships/hyperlink" Target="https://www.experian.com/blogs/ask-experian/what-is-the-average-credit-score-in-the-u-s/" TargetMode="External"/><Relationship Id="rId76" Type="http://schemas.openxmlformats.org/officeDocument/2006/relationships/hyperlink" Target="https://www.stlouisfed.org/community-development/publications/access-credit-financial-services-bridge-financial-well-being/access-traditional-credit-us-feds-eighth-district" TargetMode="External"/><Relationship Id="rId77" Type="http://schemas.openxmlformats.org/officeDocument/2006/relationships/hyperlink" Target="https://files.consumerfinance.gov/f/documents/cfpb_update-credit-invisibles-estimate_2025-06.pdf" TargetMode="External"/><Relationship Id="rId78" Type="http://schemas.openxmlformats.org/officeDocument/2006/relationships/hyperlink" Target="https://www.consumerfinance.gov/archive/blog/medical-debt-anything-already-paid-or-under-500-should-no-longer-be-on-your-credit-report/" TargetMode="External"/><Relationship Id="rId79" Type="http://schemas.openxmlformats.org/officeDocument/2006/relationships/hyperlink" Target="https://www.consumerfinancemonitor.com/2025/07/15/federal-judge-vacates-cfpb-medical-debt-rule/" TargetMode="External"/><Relationship Id="rId80" Type="http://schemas.openxmlformats.org/officeDocument/2006/relationships/hyperlink" Target="https://www.cnbc.com/select/best-credit-repair-companies/" TargetMode="External"/><Relationship Id="rId81" Type="http://schemas.openxmlformats.org/officeDocument/2006/relationships/hyperlink" Target="https://www.experian.com/blogs/ask-experian/how-much-does-credit-repair-cost/" TargetMode="External"/><Relationship Id="rId82" Type="http://schemas.openxmlformats.org/officeDocument/2006/relationships/hyperlink" Target="https://debt.com/credit-repair/how-long-does-credit-repair-take/" TargetMode="External"/><Relationship Id="rId83" Type="http://schemas.openxmlformats.org/officeDocument/2006/relationships/hyperlink" Target="https://finmasters.com/credit-repair-survey/" TargetMode="External"/><Relationship Id="rId84" Type="http://schemas.openxmlformats.org/officeDocument/2006/relationships/hyperlink" Target="https://www.law.cornell.edu/uscode/text/15/1679c" TargetMode="External"/><Relationship Id="rId85" Type="http://schemas.openxmlformats.org/officeDocument/2006/relationships/hyperlink" Target="https://www.law.cornell.edu/uscode/text/15/1681i" TargetMode="External"/><Relationship Id="rId86" Type="http://schemas.openxmlformats.org/officeDocument/2006/relationships/hyperlink" Target="https://www.consumerfinance.gov/about-us/newsroom/cfpb-reaches-multibillion-dollar-settlement-with-credit-repair-conglomerate/" TargetMode="External"/><Relationship Id="rId87" Type="http://schemas.openxmlformats.org/officeDocument/2006/relationships/hyperlink" Target="https://consumer.ftc.gov/articles/fixing-your-credit-faqs" TargetMode="External"/><Relationship Id="rId88" Type="http://schemas.openxmlformats.org/officeDocument/2006/relationships/hyperlink" Target="https://www.nclc.org/wp-content/uploads/2022/09/IB_State_Credit_Repair_Abuses.pdf" TargetMode="External"/><Relationship Id="rId89" Type="http://schemas.openxmlformats.org/officeDocument/2006/relationships/hyperlink" Target="https://www.consumerfinance.gov/archive/newsroom/cfpb-announces-return-of-1-8-billion-in-illegal-junk-fees-to-4-3-million-americans-harmed-in-massive-credit-repair-scheme/" TargetMode="External"/><Relationship Id="rId90" Type="http://schemas.openxmlformats.org/officeDocument/2006/relationships/hyperlink" Target="https://www.consumerfinance.gov/enforcement/actions/daniel-a-rosen-inc-dba-credit-repair-cloud-and-daniel-rosen/" TargetMode="External"/><Relationship Id="rId91" Type="http://schemas.openxmlformats.org/officeDocument/2006/relationships/hyperlink" Target="https://www.ftc.gov/news-events/news/press-releases/2026/03/ftc-sends-more-109-million-consumers-harmed-credit-repair-pyramid-scheme" TargetMode="External"/><Relationship Id="rId92" Type="http://schemas.openxmlformats.org/officeDocument/2006/relationships/hyperlink" Target="https://files.consumerfinance.gov/f/documents/cfpb_2025-cr-annual-report_2026-03.pdf" TargetMode="External"/><Relationship Id="rId93" Type="http://schemas.openxmlformats.org/officeDocument/2006/relationships/hyperlink" Target="https://files.consumerfinance.gov/f/201212_cfpb_credit-reporting-white-paper.pdf" TargetMode="External"/><Relationship Id="rId94" Type="http://schemas.openxmlformats.org/officeDocument/2006/relationships/hyperlink" Target="https://www.creditrepaircloud.com/pricing" TargetMode="External"/><Relationship Id="rId95" Type="http://schemas.openxmlformats.org/officeDocument/2006/relationships/hyperlink" Target="https://www.disputefox.com/pricing" TargetMode="External"/><Relationship Id="rId96" Type="http://schemas.openxmlformats.org/officeDocument/2006/relationships/hyperlink" Target="https://answers.hud.gov/FHA/s/article/What-is-the-minimum-down-payment-requirement-for-FHA" TargetMode="External"/><Relationship Id="rId97" Type="http://schemas.openxmlformats.org/officeDocument/2006/relationships/hyperlink" Target="https://www.mpamag.com/us/mortgage-industry/industry-trends/fannie-mae-scraps-minimum-credit-score-for-du-loans/555870" TargetMode="External"/><Relationship Id="rId98" Type="http://schemas.openxmlformats.org/officeDocument/2006/relationships/hyperlink" Target="https://experian.com/blogs/ask-experian/average-car-loan-interest-rates-by-credit-score/" TargetMode="External"/><Relationship Id="rId99" Type="http://schemas.openxmlformats.org/officeDocument/2006/relationships/hyperlink" Target="https://www.newyorkfed.org/newsevents/news/research/2026/20260811" TargetMode="External"/><Relationship Id="rId100" Type="http://schemas.openxmlformats.org/officeDocument/2006/relationships/hyperlink" Target="https://libertystreeteconomics.newyorkfed.org/2025/05/student-loan-delinquencies-are-back-and-credit-scores-take-a-tumble" TargetMode="External"/><Relationship Id="rId101" Type="http://schemas.openxmlformats.org/officeDocument/2006/relationships/hyperlink" Target="https://nfcc.org/members" TargetMode="External"/><Relationship Id="rId102" Type="http://schemas.openxmlformats.org/officeDocument/2006/relationships/hyperlink" Target="https://www.cdiaonline.org/news/2023/09/18/equifax-experian-and-transunion-support-u-s-consumers-with-permanent-extension-of-free-weekly-credit-reports/" TargetMode="External"/><Relationship Id="rId103" Type="http://schemas.openxmlformats.org/officeDocument/2006/relationships/hyperlink" Target="https://www.nerdwallet.com/article/finance/survey-4-in-5-americans-are-trying-to-improve-their-credit" TargetMode="External"/><Relationship Id="rId104" Type="http://schemas.openxmlformats.org/officeDocument/2006/relationships/hyperlink" Target="https://eyeonhousing.org/2026/02/u-s-population-growth-slows-in-2025/" TargetMode="External"/><Relationship Id="rId105" Type="http://schemas.openxmlformats.org/officeDocument/2006/relationships/hyperlink" Target="https://www.texastribune.org/2026/01/27/texas-population-2025-census/" TargetMode="External"/><Relationship Id="rId106" Type="http://schemas.openxmlformats.org/officeDocument/2006/relationships/hyperlink" Target="https://apps.urban.org/features/debt-interactive-map/" TargetMode="External"/><Relationship Id="rId107" Type="http://schemas.openxmlformats.org/officeDocument/2006/relationships/hyperlink" Target="https://statutes.capitol.texas.gov/Docs/FI/htm/FI.393.htm" TargetMode="External"/><Relationship Id="rId108" Type="http://schemas.openxmlformats.org/officeDocument/2006/relationships/hyperlink" Target="https://www.sos.texas.gov/statdoc/forms/2801.pdf" TargetMode="External"/><Relationship Id="rId109" Type="http://schemas.openxmlformats.org/officeDocument/2006/relationships/hyperlink" Target="https://www.sos.texas.gov/statdoc/forms/2802.pdf" TargetMode="External"/><Relationship Id="rId110" Type="http://schemas.openxmlformats.org/officeDocument/2006/relationships/hyperlink" Target="https://fred.stlouisfed.org/series/DFWPOP" TargetMode="External"/><Relationship Id="rId111" Type="http://schemas.openxmlformats.org/officeDocument/2006/relationships/hyperlink" Target="https://fred.stlouisfed.org/series/TXHOWN" TargetMode="External"/><Relationship Id="rId112" Type="http://schemas.openxmlformats.org/officeDocument/2006/relationships/hyperlink" Target="https://houstonagentmagazine.com/2026/03/12/texas-realtors-2025-year-in-review/" TargetMode="External"/><Relationship Id="rId113" Type="http://schemas.openxmlformats.org/officeDocument/2006/relationships/hyperlink" Target="https://www.mpamag.com/us/news/general/first-time-buyers-fall-close-to-their-lowest-ever-market-share-in-texas/571541" TargetMode="External"/><Relationship Id="rId114" Type="http://schemas.openxmlformats.org/officeDocument/2006/relationships/hyperlink" Target="https://everytexan.org/?p=29442" TargetMode="External"/><Relationship Id="rId115" Type="http://schemas.openxmlformats.org/officeDocument/2006/relationships/hyperlink" Target="https://www.supermoney.com/reviews/credit-repair/msi-credit-solutions-credit-repair" TargetMode="External"/><Relationship Id="rId116" Type="http://schemas.openxmlformats.org/officeDocument/2006/relationships/hyperlink" Target="https://credittexan.com/" TargetMode="External"/><Relationship Id="rId117" Type="http://schemas.openxmlformats.org/officeDocument/2006/relationships/hyperlink" Target="https://ffiec.cfpb.gov/data-browser/" TargetMode="External"/><Relationship Id="rId118" Type="http://schemas.openxmlformats.org/officeDocument/2006/relationships/hyperlink" Target="https://data.texas.gov/resource/s7ft-44qi.json" TargetMode="External"/><Relationship Id="rId119" Type="http://schemas.openxmlformats.org/officeDocument/2006/relationships/hyperlink" Target="https://en.wikipedia.org/wiki/Money_Management_International" TargetMode="External"/><Relationship Id="rId120" Type="http://schemas.openxmlformats.org/officeDocument/2006/relationships/image" Target="media/image48.jpg"/><Relationship Id="rId121" Type="http://schemas.openxmlformats.org/officeDocument/2006/relationships/image" Target="media/image49.png"/><Relationship Id="rId122" Type="http://schemas.openxmlformats.org/officeDocument/2006/relationships/hyperlink" Target="https://upmetrics.co/features/ai-plan-generator" TargetMode="External"/><Relationship Id="rId123" Type="http://schemas.openxmlformats.org/officeDocument/2006/relationships/image" Target="media/image50.png"/><Relationship Id="rId124" Type="http://schemas.openxmlformats.org/officeDocument/2006/relationships/image" Target="media/image51.png"/><Relationship Id="rId125"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Repair Business Plan</dc:title>
  <dc:subject>A free Credit Repair business plan template and sample business plan in Word for Bluecrest in Dallas, Texas, United States, including financial projections. Built with Upmetrics.</dc:subject>
  <dc:creator>Upmetrics</dc:creator>
  <cp:keywords>Credit Repair business plan, Credit Repair business plan example, Credit Repair business plan Word template, editable Credit Repair business plan, Credit Repair business plan template, Credit Repair business plan sample, free Credit Repair business plan template, Upmetrics</cp:keywords>
  <dc:description>Editable Word version of a sample Credit Repair business plan for Bluecrest in Dallas, Texas, United States, with 3-year financial projections. Built with Upmetrics.</dc:description>
  <cp:lastModifiedBy>Upmetrics</cp:lastModifiedBy>
  <cp:revision>1</cp:revision>
  <dcterms:created xsi:type="dcterms:W3CDTF">2026-10-16T06:01:48Z</dcterms:created>
  <dcterms:modified xsi:type="dcterms:W3CDTF">2026-10-16T06:01:48Z</dcterms:modified>
  <cp:category>Business plan</cp:category>
</cp:coreProperties>
</file>