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2F4858"/>
          <w:spacing w:val="0"/>
          <w:sz w:val="44"/>
        </w:rPr>
        <w:t>Table of Contents</w:t>
      </w:r>
    </w:p>
    <w:p>
      <w:pPr>
        <w:keepNext/>
        <w:keepLines/>
        <w:tabs>
          <w:tab w:pos="10284" w:val="right"/>
        </w:tabs>
        <w:spacing w:line="276" w:lineRule="auto" w:before="280" w:after="160"/>
        <w:pBdr>
          <w:bottom w:val="single" w:sz="6" w:space="3" w:color="2F4858"/>
        </w:pBdr>
        <w:ind w:left="0"/>
      </w:pPr>
      <w:hyperlink w:anchor="toc_1" w:history="1">
        <w:r>
          <w:rPr>
            <w:rFonts w:ascii="Roboto" w:hAnsi="Roboto" w:cs="Roboto"/>
            <w:color w:val="2F4858"/>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2F4858"/>
          </w:rPr>
          <w:t xml:space="preserve"> </w:t>
        </w:r>
        <w:r>
          <w:rPr>
            <w:rFonts w:ascii="Roboto Bold" w:hAnsi="Roboto Bold" w:cs="Roboto Bold" w:eastAsia="Roboto Bold"/>
            <w:b w:val="0"/>
            <w:color w:val="FFFFFF"/>
            <w:spacing w:val="0"/>
            <w:sz w:val="20"/>
            <w:szCs w:val="20"/>
            <w:shd w:val="clear" w:color="auto" w:fill="2F4858"/>
          </w:rPr>
          <w:fldChar w:fldCharType="begin"/>
        </w:r>
        <w:r>
          <w:rPr>
            <w:rFonts w:ascii="Roboto Bold" w:hAnsi="Roboto Bold" w:cs="Roboto Bold" w:eastAsia="Roboto Bold"/>
            <w:b w:val="0"/>
            <w:color w:val="FFFFFF"/>
            <w:spacing w:val="0"/>
            <w:sz w:val="20"/>
            <w:szCs w:val="20"/>
            <w:shd w:val="clear" w:color="auto" w:fill="2F4858"/>
          </w:rPr>
          <w:instrText xml:space="preserve"> PAGEREF toc_1 \h </w:instrText>
        </w:r>
        <w:r>
          <w:rPr>
            <w:rFonts w:ascii="Roboto Bold" w:hAnsi="Roboto Bold" w:cs="Roboto Bold" w:eastAsia="Roboto Bold"/>
            <w:b w:val="0"/>
            <w:color w:val="FFFFFF"/>
            <w:spacing w:val="0"/>
            <w:sz w:val="20"/>
            <w:szCs w:val="20"/>
            <w:shd w:val="clear" w:color="auto" w:fill="2F4858"/>
          </w:rPr>
          <w:fldChar w:fldCharType="separate"/>
        </w:r>
        <w:r>
          <w:rPr>
            <w:rFonts w:ascii="Roboto Bold" w:hAnsi="Roboto Bold" w:cs="Roboto Bold" w:eastAsia="Roboto Bold"/>
            <w:b w:val="0"/>
            <w:color w:val="FFFFFF"/>
            <w:spacing w:val="0"/>
            <w:sz w:val="20"/>
            <w:szCs w:val="20"/>
            <w:shd w:val="clear" w:color="auto" w:fill="2F4858"/>
          </w:rPr>
          <w:t xml:space="preserve">6</w:t>
        </w:r>
        <w:r>
          <w:rPr>
            <w:rFonts w:ascii="Roboto Bold" w:hAnsi="Roboto Bold" w:cs="Roboto Bold" w:eastAsia="Roboto Bold"/>
            <w:b w:val="0"/>
            <w:color w:val="FFFFFF"/>
            <w:spacing w:val="0"/>
            <w:sz w:val="20"/>
            <w:szCs w:val="20"/>
            <w:shd w:val="clear" w:color="auto" w:fill="2F4858"/>
          </w:rPr>
          <w:fldChar w:fldCharType="end"/>
        </w:r>
        <w:r>
          <w:rPr>
            <w:rFonts w:ascii="Roboto" w:hAnsi="Roboto" w:cs="Roboto"/>
            <w:color w:val="FFFFFF"/>
            <w:spacing w:val="0"/>
            <w:sz w:val="20"/>
            <w:szCs w:val="20"/>
            <w:shd w:val="clear" w:color="auto" w:fill="2F4858"/>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toc_1_1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7</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toc_1_2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7</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toc_1_3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7</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toc_1_4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7</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toc_1_5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8</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toc_1_6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8</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F4858"/>
            <w:spacing w:val="0"/>
            <w:sz w:val="18"/>
            <w:szCs w:val="18"/>
          </w:rPr>
          <w:fldChar w:fldCharType="begin"/>
        </w:r>
        <w:r>
          <w:rPr>
            <w:rFonts w:ascii="Roboto" w:hAnsi="Roboto" w:cs="Roboto"/>
            <w:color w:val="2F4858"/>
            <w:spacing w:val="0"/>
            <w:sz w:val="18"/>
            <w:szCs w:val="18"/>
          </w:rPr>
          <w:instrText xml:space="preserve"> PAGEREF toc_1_6_1 \h </w:instrText>
        </w:r>
        <w:r>
          <w:rPr>
            <w:rFonts w:ascii="Roboto" w:hAnsi="Roboto" w:cs="Roboto"/>
            <w:color w:val="2F4858"/>
            <w:spacing w:val="0"/>
            <w:sz w:val="18"/>
            <w:szCs w:val="18"/>
          </w:rPr>
          <w:fldChar w:fldCharType="separate"/>
        </w:r>
        <w:r>
          <w:rPr>
            <w:rFonts w:ascii="Roboto" w:hAnsi="Roboto" w:cs="Roboto"/>
            <w:color w:val="2F4858"/>
            <w:spacing w:val="0"/>
            <w:sz w:val="18"/>
            <w:szCs w:val="18"/>
          </w:rPr>
          <w:t xml:space="preserve">8</w:t>
        </w:r>
        <w:r>
          <w:rPr>
            <w:rFonts w:ascii="Roboto" w:hAnsi="Roboto" w:cs="Roboto"/>
            <w:color w:val="2F4858"/>
            <w:spacing w:val="0"/>
            <w:sz w:val="18"/>
            <w:szCs w:val="18"/>
          </w:rPr>
          <w:fldChar w:fldCharType="end"/>
        </w:r>
      </w:hyperlink>
    </w:p>
    <w:p>
      <w:pPr>
        <w:keepNext/>
        <w:keepLines/>
        <w:tabs>
          <w:tab w:pos="10284" w:val="right"/>
        </w:tabs>
        <w:spacing w:line="276" w:lineRule="auto" w:before="280" w:after="160"/>
        <w:pBdr>
          <w:bottom w:val="single" w:sz="6" w:space="3" w:color="2F4858"/>
        </w:pBdr>
        <w:ind w:left="0"/>
      </w:pPr>
      <w:hyperlink w:anchor="toc_2" w:history="1">
        <w:r>
          <w:rPr>
            <w:rFonts w:ascii="Roboto" w:hAnsi="Roboto" w:cs="Roboto"/>
            <w:color w:val="2F4858"/>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2F4858"/>
          </w:rPr>
          <w:t xml:space="preserve"> </w:t>
        </w:r>
        <w:r>
          <w:rPr>
            <w:rFonts w:ascii="Roboto Bold" w:hAnsi="Roboto Bold" w:cs="Roboto Bold" w:eastAsia="Roboto Bold"/>
            <w:b w:val="0"/>
            <w:color w:val="FFFFFF"/>
            <w:spacing w:val="0"/>
            <w:sz w:val="20"/>
            <w:szCs w:val="20"/>
            <w:shd w:val="clear" w:color="auto" w:fill="2F4858"/>
          </w:rPr>
          <w:fldChar w:fldCharType="begin"/>
        </w:r>
        <w:r>
          <w:rPr>
            <w:rFonts w:ascii="Roboto Bold" w:hAnsi="Roboto Bold" w:cs="Roboto Bold" w:eastAsia="Roboto Bold"/>
            <w:b w:val="0"/>
            <w:color w:val="FFFFFF"/>
            <w:spacing w:val="0"/>
            <w:sz w:val="20"/>
            <w:szCs w:val="20"/>
            <w:shd w:val="clear" w:color="auto" w:fill="2F4858"/>
          </w:rPr>
          <w:instrText xml:space="preserve"> PAGEREF toc_2 \h </w:instrText>
        </w:r>
        <w:r>
          <w:rPr>
            <w:rFonts w:ascii="Roboto Bold" w:hAnsi="Roboto Bold" w:cs="Roboto Bold" w:eastAsia="Roboto Bold"/>
            <w:b w:val="0"/>
            <w:color w:val="FFFFFF"/>
            <w:spacing w:val="0"/>
            <w:sz w:val="20"/>
            <w:szCs w:val="20"/>
            <w:shd w:val="clear" w:color="auto" w:fill="2F4858"/>
          </w:rPr>
          <w:fldChar w:fldCharType="separate"/>
        </w:r>
        <w:r>
          <w:rPr>
            <w:rFonts w:ascii="Roboto Bold" w:hAnsi="Roboto Bold" w:cs="Roboto Bold" w:eastAsia="Roboto Bold"/>
            <w:b w:val="0"/>
            <w:color w:val="FFFFFF"/>
            <w:spacing w:val="0"/>
            <w:sz w:val="20"/>
            <w:szCs w:val="20"/>
            <w:shd w:val="clear" w:color="auto" w:fill="2F4858"/>
          </w:rPr>
          <w:t xml:space="preserve">9</w:t>
        </w:r>
        <w:r>
          <w:rPr>
            <w:rFonts w:ascii="Roboto Bold" w:hAnsi="Roboto Bold" w:cs="Roboto Bold" w:eastAsia="Roboto Bold"/>
            <w:b w:val="0"/>
            <w:color w:val="FFFFFF"/>
            <w:spacing w:val="0"/>
            <w:sz w:val="20"/>
            <w:szCs w:val="20"/>
            <w:shd w:val="clear" w:color="auto" w:fill="2F4858"/>
          </w:rPr>
          <w:fldChar w:fldCharType="end"/>
        </w:r>
        <w:r>
          <w:rPr>
            <w:rFonts w:ascii="Roboto" w:hAnsi="Roboto" w:cs="Roboto"/>
            <w:color w:val="FFFFFF"/>
            <w:spacing w:val="0"/>
            <w:sz w:val="20"/>
            <w:szCs w:val="20"/>
            <w:shd w:val="clear" w:color="auto" w:fill="2F4858"/>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toc_2_1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10</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toc_2_2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10</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toc_2_3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10</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toc_2_4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10</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F4858"/>
            <w:spacing w:val="0"/>
            <w:sz w:val="18"/>
            <w:szCs w:val="18"/>
          </w:rPr>
          <w:fldChar w:fldCharType="begin"/>
        </w:r>
        <w:r>
          <w:rPr>
            <w:rFonts w:ascii="Roboto" w:hAnsi="Roboto" w:cs="Roboto"/>
            <w:color w:val="2F4858"/>
            <w:spacing w:val="0"/>
            <w:sz w:val="18"/>
            <w:szCs w:val="18"/>
          </w:rPr>
          <w:instrText xml:space="preserve"> PAGEREF toc_2_4_1 \h </w:instrText>
        </w:r>
        <w:r>
          <w:rPr>
            <w:rFonts w:ascii="Roboto" w:hAnsi="Roboto" w:cs="Roboto"/>
            <w:color w:val="2F4858"/>
            <w:spacing w:val="0"/>
            <w:sz w:val="18"/>
            <w:szCs w:val="18"/>
          </w:rPr>
          <w:fldChar w:fldCharType="separate"/>
        </w:r>
        <w:r>
          <w:rPr>
            <w:rFonts w:ascii="Roboto" w:hAnsi="Roboto" w:cs="Roboto"/>
            <w:color w:val="2F4858"/>
            <w:spacing w:val="0"/>
            <w:sz w:val="18"/>
            <w:szCs w:val="18"/>
          </w:rPr>
          <w:t xml:space="preserve">11</w:t>
        </w:r>
        <w:r>
          <w:rPr>
            <w:rFonts w:ascii="Roboto" w:hAnsi="Roboto" w:cs="Roboto"/>
            <w:color w:val="2F4858"/>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F4858"/>
            <w:spacing w:val="0"/>
            <w:sz w:val="18"/>
            <w:szCs w:val="18"/>
          </w:rPr>
          <w:fldChar w:fldCharType="begin"/>
        </w:r>
        <w:r>
          <w:rPr>
            <w:rFonts w:ascii="Roboto" w:hAnsi="Roboto" w:cs="Roboto"/>
            <w:color w:val="2F4858"/>
            <w:spacing w:val="0"/>
            <w:sz w:val="18"/>
            <w:szCs w:val="18"/>
          </w:rPr>
          <w:instrText xml:space="preserve"> PAGEREF toc_2_4_2 \h </w:instrText>
        </w:r>
        <w:r>
          <w:rPr>
            <w:rFonts w:ascii="Roboto" w:hAnsi="Roboto" w:cs="Roboto"/>
            <w:color w:val="2F4858"/>
            <w:spacing w:val="0"/>
            <w:sz w:val="18"/>
            <w:szCs w:val="18"/>
          </w:rPr>
          <w:fldChar w:fldCharType="separate"/>
        </w:r>
        <w:r>
          <w:rPr>
            <w:rFonts w:ascii="Roboto" w:hAnsi="Roboto" w:cs="Roboto"/>
            <w:color w:val="2F4858"/>
            <w:spacing w:val="0"/>
            <w:sz w:val="18"/>
            <w:szCs w:val="18"/>
          </w:rPr>
          <w:t xml:space="preserve">11</w:t>
        </w:r>
        <w:r>
          <w:rPr>
            <w:rFonts w:ascii="Roboto" w:hAnsi="Roboto" w:cs="Roboto"/>
            <w:color w:val="2F4858"/>
            <w:spacing w:val="0"/>
            <w:sz w:val="18"/>
            <w:szCs w:val="18"/>
          </w:rPr>
          <w:fldChar w:fldCharType="end"/>
        </w:r>
      </w:hyperlink>
    </w:p>
    <w:p>
      <w:pPr>
        <w:keepNext/>
        <w:keepLines/>
        <w:tabs>
          <w:tab w:pos="10284" w:val="right"/>
        </w:tabs>
        <w:spacing w:line="276" w:lineRule="auto" w:before="280" w:after="160"/>
        <w:pBdr>
          <w:bottom w:val="single" w:sz="6" w:space="3" w:color="2F4858"/>
        </w:pBdr>
        <w:ind w:left="0"/>
      </w:pPr>
      <w:hyperlink w:anchor="toc_3" w:history="1">
        <w:r>
          <w:rPr>
            <w:rFonts w:ascii="Roboto" w:hAnsi="Roboto" w:cs="Roboto"/>
            <w:color w:val="2F4858"/>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2F4858"/>
          </w:rPr>
          <w:t xml:space="preserve"> </w:t>
        </w:r>
        <w:r>
          <w:rPr>
            <w:rFonts w:ascii="Roboto Bold" w:hAnsi="Roboto Bold" w:cs="Roboto Bold" w:eastAsia="Roboto Bold"/>
            <w:b w:val="0"/>
            <w:color w:val="FFFFFF"/>
            <w:spacing w:val="0"/>
            <w:sz w:val="20"/>
            <w:szCs w:val="20"/>
            <w:shd w:val="clear" w:color="auto" w:fill="2F4858"/>
          </w:rPr>
          <w:fldChar w:fldCharType="begin"/>
        </w:r>
        <w:r>
          <w:rPr>
            <w:rFonts w:ascii="Roboto Bold" w:hAnsi="Roboto Bold" w:cs="Roboto Bold" w:eastAsia="Roboto Bold"/>
            <w:b w:val="0"/>
            <w:color w:val="FFFFFF"/>
            <w:spacing w:val="0"/>
            <w:sz w:val="20"/>
            <w:szCs w:val="20"/>
            <w:shd w:val="clear" w:color="auto" w:fill="2F4858"/>
          </w:rPr>
          <w:instrText xml:space="preserve"> PAGEREF toc_3 \h </w:instrText>
        </w:r>
        <w:r>
          <w:rPr>
            <w:rFonts w:ascii="Roboto Bold" w:hAnsi="Roboto Bold" w:cs="Roboto Bold" w:eastAsia="Roboto Bold"/>
            <w:b w:val="0"/>
            <w:color w:val="FFFFFF"/>
            <w:spacing w:val="0"/>
            <w:sz w:val="20"/>
            <w:szCs w:val="20"/>
            <w:shd w:val="clear" w:color="auto" w:fill="2F4858"/>
          </w:rPr>
          <w:fldChar w:fldCharType="separate"/>
        </w:r>
        <w:r>
          <w:rPr>
            <w:rFonts w:ascii="Roboto Bold" w:hAnsi="Roboto Bold" w:cs="Roboto Bold" w:eastAsia="Roboto Bold"/>
            <w:b w:val="0"/>
            <w:color w:val="FFFFFF"/>
            <w:spacing w:val="0"/>
            <w:sz w:val="20"/>
            <w:szCs w:val="20"/>
            <w:shd w:val="clear" w:color="auto" w:fill="2F4858"/>
          </w:rPr>
          <w:t xml:space="preserve">12</w:t>
        </w:r>
        <w:r>
          <w:rPr>
            <w:rFonts w:ascii="Roboto Bold" w:hAnsi="Roboto Bold" w:cs="Roboto Bold" w:eastAsia="Roboto Bold"/>
            <w:b w:val="0"/>
            <w:color w:val="FFFFFF"/>
            <w:spacing w:val="0"/>
            <w:sz w:val="20"/>
            <w:szCs w:val="20"/>
            <w:shd w:val="clear" w:color="auto" w:fill="2F4858"/>
          </w:rPr>
          <w:fldChar w:fldCharType="end"/>
        </w:r>
        <w:r>
          <w:rPr>
            <w:rFonts w:ascii="Roboto" w:hAnsi="Roboto" w:cs="Roboto"/>
            <w:color w:val="FFFFFF"/>
            <w:spacing w:val="0"/>
            <w:sz w:val="20"/>
            <w:szCs w:val="20"/>
            <w:shd w:val="clear" w:color="auto" w:fill="2F4858"/>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toc_3_1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13</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toc_3_2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13</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toc_3_3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13</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toc_3_4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13</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toc_3_5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14</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80"/>
        <w:ind w:left="567"/>
      </w:pPr>
      <w:hyperlink w:anchor="toc_3_5_1" w:history="1">
        <w:r>
          <w:rPr>
            <w:rFonts w:ascii="Roboto" w:hAnsi="Roboto" w:cs="Roboto"/>
            <w:color w:val="0A0A0A"/>
            <w:spacing w:val="0"/>
            <w:sz w:val="18"/>
            <w:szCs w:val="18"/>
          </w:rPr>
          <w:t xml:space="preserve">3.5.1  PESTEL Analysis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F4858"/>
            <w:spacing w:val="0"/>
            <w:sz w:val="18"/>
            <w:szCs w:val="18"/>
          </w:rPr>
          <w:fldChar w:fldCharType="begin"/>
        </w:r>
        <w:r>
          <w:rPr>
            <w:rFonts w:ascii="Roboto" w:hAnsi="Roboto" w:cs="Roboto"/>
            <w:color w:val="2F4858"/>
            <w:spacing w:val="0"/>
            <w:sz w:val="18"/>
            <w:szCs w:val="18"/>
          </w:rPr>
          <w:instrText xml:space="preserve"> PAGEREF toc_3_5_1 \h </w:instrText>
        </w:r>
        <w:r>
          <w:rPr>
            <w:rFonts w:ascii="Roboto" w:hAnsi="Roboto" w:cs="Roboto"/>
            <w:color w:val="2F4858"/>
            <w:spacing w:val="0"/>
            <w:sz w:val="18"/>
            <w:szCs w:val="18"/>
          </w:rPr>
          <w:fldChar w:fldCharType="separate"/>
        </w:r>
        <w:r>
          <w:rPr>
            <w:rFonts w:ascii="Roboto" w:hAnsi="Roboto" w:cs="Roboto"/>
            <w:color w:val="2F4858"/>
            <w:spacing w:val="0"/>
            <w:sz w:val="18"/>
            <w:szCs w:val="18"/>
          </w:rPr>
          <w:t xml:space="preserve">15</w:t>
        </w:r>
        <w:r>
          <w:rPr>
            <w:rFonts w:ascii="Roboto" w:hAnsi="Roboto" w:cs="Roboto"/>
            <w:color w:val="2F4858"/>
            <w:spacing w:val="0"/>
            <w:sz w:val="18"/>
            <w:szCs w:val="18"/>
          </w:rPr>
          <w:fldChar w:fldCharType="end"/>
        </w:r>
      </w:hyperlink>
    </w:p>
    <w:p>
      <w:pPr>
        <w:keepNext/>
        <w:keepLines/>
        <w:tabs>
          <w:tab w:pos="10284" w:val="right"/>
        </w:tabs>
        <w:spacing w:line="276" w:lineRule="auto" w:before="280" w:after="160"/>
        <w:pBdr>
          <w:bottom w:val="single" w:sz="6" w:space="3" w:color="2F4858"/>
        </w:pBdr>
        <w:ind w:left="0"/>
      </w:pPr>
      <w:hyperlink w:anchor="toc_4" w:history="1">
        <w:r>
          <w:rPr>
            <w:rFonts w:ascii="Roboto" w:hAnsi="Roboto" w:cs="Roboto"/>
            <w:color w:val="2F4858"/>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2F4858"/>
          </w:rPr>
          <w:t xml:space="preserve"> </w:t>
        </w:r>
        <w:r>
          <w:rPr>
            <w:rFonts w:ascii="Roboto Bold" w:hAnsi="Roboto Bold" w:cs="Roboto Bold" w:eastAsia="Roboto Bold"/>
            <w:b w:val="0"/>
            <w:color w:val="FFFFFF"/>
            <w:spacing w:val="0"/>
            <w:sz w:val="20"/>
            <w:szCs w:val="20"/>
            <w:shd w:val="clear" w:color="auto" w:fill="2F4858"/>
          </w:rPr>
          <w:fldChar w:fldCharType="begin"/>
        </w:r>
        <w:r>
          <w:rPr>
            <w:rFonts w:ascii="Roboto Bold" w:hAnsi="Roboto Bold" w:cs="Roboto Bold" w:eastAsia="Roboto Bold"/>
            <w:b w:val="0"/>
            <w:color w:val="FFFFFF"/>
            <w:spacing w:val="0"/>
            <w:sz w:val="20"/>
            <w:szCs w:val="20"/>
            <w:shd w:val="clear" w:color="auto" w:fill="2F4858"/>
          </w:rPr>
          <w:instrText xml:space="preserve"> PAGEREF toc_4 \h </w:instrText>
        </w:r>
        <w:r>
          <w:rPr>
            <w:rFonts w:ascii="Roboto Bold" w:hAnsi="Roboto Bold" w:cs="Roboto Bold" w:eastAsia="Roboto Bold"/>
            <w:b w:val="0"/>
            <w:color w:val="FFFFFF"/>
            <w:spacing w:val="0"/>
            <w:sz w:val="20"/>
            <w:szCs w:val="20"/>
            <w:shd w:val="clear" w:color="auto" w:fill="2F4858"/>
          </w:rPr>
          <w:fldChar w:fldCharType="separate"/>
        </w:r>
        <w:r>
          <w:rPr>
            <w:rFonts w:ascii="Roboto Bold" w:hAnsi="Roboto Bold" w:cs="Roboto Bold" w:eastAsia="Roboto Bold"/>
            <w:b w:val="0"/>
            <w:color w:val="FFFFFF"/>
            <w:spacing w:val="0"/>
            <w:sz w:val="20"/>
            <w:szCs w:val="20"/>
            <w:shd w:val="clear" w:color="auto" w:fill="2F4858"/>
          </w:rPr>
          <w:t xml:space="preserve">16</w:t>
        </w:r>
        <w:r>
          <w:rPr>
            <w:rFonts w:ascii="Roboto Bold" w:hAnsi="Roboto Bold" w:cs="Roboto Bold" w:eastAsia="Roboto Bold"/>
            <w:b w:val="0"/>
            <w:color w:val="FFFFFF"/>
            <w:spacing w:val="0"/>
            <w:sz w:val="20"/>
            <w:szCs w:val="20"/>
            <w:shd w:val="clear" w:color="auto" w:fill="2F4858"/>
          </w:rPr>
          <w:fldChar w:fldCharType="end"/>
        </w:r>
        <w:r>
          <w:rPr>
            <w:rFonts w:ascii="Roboto" w:hAnsi="Roboto" w:cs="Roboto"/>
            <w:color w:val="FFFFFF"/>
            <w:spacing w:val="0"/>
            <w:sz w:val="20"/>
            <w:szCs w:val="20"/>
            <w:shd w:val="clear" w:color="auto" w:fill="2F4858"/>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toc_4_1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17</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toc_4_2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17</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toc_4_3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18</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toc_4_4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18</w:t>
        </w:r>
        <w:r>
          <w:rPr>
            <w:rFonts w:ascii="Roboto" w:hAnsi="Roboto" w:cs="Roboto"/>
            <w:color w:val="2F4858"/>
            <w:spacing w:val="0"/>
            <w:sz w:val="21"/>
            <w:szCs w:val="21"/>
          </w:rPr>
          <w:fldChar w:fldCharType="end"/>
        </w:r>
      </w:hyperlink>
    </w:p>
    <w:p>
      <w:pPr>
        <w:keepNext/>
        <w:keepLines/>
        <w:tabs>
          <w:tab w:pos="10284" w:val="right"/>
        </w:tabs>
        <w:spacing w:line="276" w:lineRule="auto" w:before="280" w:after="160"/>
        <w:pBdr>
          <w:bottom w:val="single" w:sz="6" w:space="3" w:color="2F4858"/>
        </w:pBdr>
        <w:ind w:left="0"/>
      </w:pPr>
      <w:hyperlink w:anchor="toc_5" w:history="1">
        <w:r>
          <w:rPr>
            <w:rFonts w:ascii="Roboto" w:hAnsi="Roboto" w:cs="Roboto"/>
            <w:color w:val="2F4858"/>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2F4858"/>
          </w:rPr>
          <w:t xml:space="preserve"> </w:t>
        </w:r>
        <w:r>
          <w:rPr>
            <w:rFonts w:ascii="Roboto Bold" w:hAnsi="Roboto Bold" w:cs="Roboto Bold" w:eastAsia="Roboto Bold"/>
            <w:b w:val="0"/>
            <w:color w:val="FFFFFF"/>
            <w:spacing w:val="0"/>
            <w:sz w:val="20"/>
            <w:szCs w:val="20"/>
            <w:shd w:val="clear" w:color="auto" w:fill="2F4858"/>
          </w:rPr>
          <w:fldChar w:fldCharType="begin"/>
        </w:r>
        <w:r>
          <w:rPr>
            <w:rFonts w:ascii="Roboto Bold" w:hAnsi="Roboto Bold" w:cs="Roboto Bold" w:eastAsia="Roboto Bold"/>
            <w:b w:val="0"/>
            <w:color w:val="FFFFFF"/>
            <w:spacing w:val="0"/>
            <w:sz w:val="20"/>
            <w:szCs w:val="20"/>
            <w:shd w:val="clear" w:color="auto" w:fill="2F4858"/>
          </w:rPr>
          <w:instrText xml:space="preserve"> PAGEREF toc_5 \h </w:instrText>
        </w:r>
        <w:r>
          <w:rPr>
            <w:rFonts w:ascii="Roboto Bold" w:hAnsi="Roboto Bold" w:cs="Roboto Bold" w:eastAsia="Roboto Bold"/>
            <w:b w:val="0"/>
            <w:color w:val="FFFFFF"/>
            <w:spacing w:val="0"/>
            <w:sz w:val="20"/>
            <w:szCs w:val="20"/>
            <w:shd w:val="clear" w:color="auto" w:fill="2F4858"/>
          </w:rPr>
          <w:fldChar w:fldCharType="separate"/>
        </w:r>
        <w:r>
          <w:rPr>
            <w:rFonts w:ascii="Roboto Bold" w:hAnsi="Roboto Bold" w:cs="Roboto Bold" w:eastAsia="Roboto Bold"/>
            <w:b w:val="0"/>
            <w:color w:val="FFFFFF"/>
            <w:spacing w:val="0"/>
            <w:sz w:val="20"/>
            <w:szCs w:val="20"/>
            <w:shd w:val="clear" w:color="auto" w:fill="2F4858"/>
          </w:rPr>
          <w:t xml:space="preserve">19</w:t>
        </w:r>
        <w:r>
          <w:rPr>
            <w:rFonts w:ascii="Roboto Bold" w:hAnsi="Roboto Bold" w:cs="Roboto Bold" w:eastAsia="Roboto Bold"/>
            <w:b w:val="0"/>
            <w:color w:val="FFFFFF"/>
            <w:spacing w:val="0"/>
            <w:sz w:val="20"/>
            <w:szCs w:val="20"/>
            <w:shd w:val="clear" w:color="auto" w:fill="2F4858"/>
          </w:rPr>
          <w:fldChar w:fldCharType="end"/>
        </w:r>
        <w:r>
          <w:rPr>
            <w:rFonts w:ascii="Roboto" w:hAnsi="Roboto" w:cs="Roboto"/>
            <w:color w:val="FFFFFF"/>
            <w:spacing w:val="0"/>
            <w:sz w:val="20"/>
            <w:szCs w:val="20"/>
            <w:shd w:val="clear" w:color="auto" w:fill="2F4858"/>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toc_5_1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20</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toc_5_2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20</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toc_5_3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21</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toc_5_4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22</w:t>
        </w:r>
        <w:r>
          <w:rPr>
            <w:rFonts w:ascii="Roboto" w:hAnsi="Roboto" w:cs="Roboto"/>
            <w:color w:val="2F4858"/>
            <w:spacing w:val="0"/>
            <w:sz w:val="21"/>
            <w:szCs w:val="21"/>
          </w:rPr>
          <w:fldChar w:fldCharType="end"/>
        </w:r>
      </w:hyperlink>
    </w:p>
    <w:p>
      <w:pPr>
        <w:keepNext/>
        <w:keepLines/>
        <w:tabs>
          <w:tab w:pos="10284" w:val="right"/>
        </w:tabs>
        <w:spacing w:line="276" w:lineRule="auto" w:before="280" w:after="160"/>
        <w:pBdr>
          <w:bottom w:val="single" w:sz="6" w:space="3" w:color="2F4858"/>
        </w:pBdr>
        <w:ind w:left="0"/>
      </w:pPr>
      <w:hyperlink w:anchor="toc_6" w:history="1">
        <w:r>
          <w:rPr>
            <w:rFonts w:ascii="Roboto" w:hAnsi="Roboto" w:cs="Roboto"/>
            <w:color w:val="2F4858"/>
            <w:spacing w:val="0"/>
            <w:sz w:val="28"/>
            <w:szCs w:val="28"/>
          </w:rPr>
          <w:t xml:space="preserve">6.  Services Offered</w:t>
        </w:r>
        <w:r>
          <w:rPr>
            <w:rFonts w:ascii="Roboto" w:hAnsi="Roboto" w:cs="Roboto"/>
            <w:color w:val="6B7280"/>
            <w:spacing w:val="0"/>
            <w:sz w:val="28"/>
            <w:szCs w:val="28"/>
          </w:rPr>
          <w:tab/>
        </w:r>
        <w:r>
          <w:rPr>
            <w:rFonts w:ascii="Roboto" w:hAnsi="Roboto" w:cs="Roboto"/>
            <w:color w:val="FFFFFF"/>
            <w:spacing w:val="0"/>
            <w:sz w:val="20"/>
            <w:szCs w:val="20"/>
            <w:shd w:val="clear" w:color="auto" w:fill="2F4858"/>
          </w:rPr>
          <w:t xml:space="preserve"> </w:t>
        </w:r>
        <w:r>
          <w:rPr>
            <w:rFonts w:ascii="Roboto Bold" w:hAnsi="Roboto Bold" w:cs="Roboto Bold" w:eastAsia="Roboto Bold"/>
            <w:b w:val="0"/>
            <w:color w:val="FFFFFF"/>
            <w:spacing w:val="0"/>
            <w:sz w:val="20"/>
            <w:szCs w:val="20"/>
            <w:shd w:val="clear" w:color="auto" w:fill="2F4858"/>
          </w:rPr>
          <w:fldChar w:fldCharType="begin"/>
        </w:r>
        <w:r>
          <w:rPr>
            <w:rFonts w:ascii="Roboto Bold" w:hAnsi="Roboto Bold" w:cs="Roboto Bold" w:eastAsia="Roboto Bold"/>
            <w:b w:val="0"/>
            <w:color w:val="FFFFFF"/>
            <w:spacing w:val="0"/>
            <w:sz w:val="20"/>
            <w:szCs w:val="20"/>
            <w:shd w:val="clear" w:color="auto" w:fill="2F4858"/>
          </w:rPr>
          <w:instrText xml:space="preserve"> PAGEREF toc_6 \h </w:instrText>
        </w:r>
        <w:r>
          <w:rPr>
            <w:rFonts w:ascii="Roboto Bold" w:hAnsi="Roboto Bold" w:cs="Roboto Bold" w:eastAsia="Roboto Bold"/>
            <w:b w:val="0"/>
            <w:color w:val="FFFFFF"/>
            <w:spacing w:val="0"/>
            <w:sz w:val="20"/>
            <w:szCs w:val="20"/>
            <w:shd w:val="clear" w:color="auto" w:fill="2F4858"/>
          </w:rPr>
          <w:fldChar w:fldCharType="separate"/>
        </w:r>
        <w:r>
          <w:rPr>
            <w:rFonts w:ascii="Roboto Bold" w:hAnsi="Roboto Bold" w:cs="Roboto Bold" w:eastAsia="Roboto Bold"/>
            <w:b w:val="0"/>
            <w:color w:val="FFFFFF"/>
            <w:spacing w:val="0"/>
            <w:sz w:val="20"/>
            <w:szCs w:val="20"/>
            <w:shd w:val="clear" w:color="auto" w:fill="2F4858"/>
          </w:rPr>
          <w:t xml:space="preserve">23</w:t>
        </w:r>
        <w:r>
          <w:rPr>
            <w:rFonts w:ascii="Roboto Bold" w:hAnsi="Roboto Bold" w:cs="Roboto Bold" w:eastAsia="Roboto Bold"/>
            <w:b w:val="0"/>
            <w:color w:val="FFFFFF"/>
            <w:spacing w:val="0"/>
            <w:sz w:val="20"/>
            <w:szCs w:val="20"/>
            <w:shd w:val="clear" w:color="auto" w:fill="2F4858"/>
          </w:rPr>
          <w:fldChar w:fldCharType="end"/>
        </w:r>
        <w:r>
          <w:rPr>
            <w:rFonts w:ascii="Roboto" w:hAnsi="Roboto" w:cs="Roboto"/>
            <w:color w:val="FFFFFF"/>
            <w:spacing w:val="0"/>
            <w:sz w:val="20"/>
            <w:szCs w:val="20"/>
            <w:shd w:val="clear" w:color="auto" w:fill="2F4858"/>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toc_6_1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24</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toc_6_2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24</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toc_6_3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24</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toc_6_4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24</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Leasing &amp; Tenant Screening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toc_6_5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25</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Full-Service Rental Management</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F4858"/>
            <w:spacing w:val="0"/>
            <w:sz w:val="18"/>
            <w:szCs w:val="18"/>
          </w:rPr>
          <w:fldChar w:fldCharType="begin"/>
        </w:r>
        <w:r>
          <w:rPr>
            <w:rFonts w:ascii="Roboto" w:hAnsi="Roboto" w:cs="Roboto"/>
            <w:color w:val="2F4858"/>
            <w:spacing w:val="0"/>
            <w:sz w:val="18"/>
            <w:szCs w:val="18"/>
          </w:rPr>
          <w:instrText xml:space="preserve"> PAGEREF toc_6_5_1 \h </w:instrText>
        </w:r>
        <w:r>
          <w:rPr>
            <w:rFonts w:ascii="Roboto" w:hAnsi="Roboto" w:cs="Roboto"/>
            <w:color w:val="2F4858"/>
            <w:spacing w:val="0"/>
            <w:sz w:val="18"/>
            <w:szCs w:val="18"/>
          </w:rPr>
          <w:fldChar w:fldCharType="separate"/>
        </w:r>
        <w:r>
          <w:rPr>
            <w:rFonts w:ascii="Roboto" w:hAnsi="Roboto" w:cs="Roboto"/>
            <w:color w:val="2F4858"/>
            <w:spacing w:val="0"/>
            <w:sz w:val="18"/>
            <w:szCs w:val="18"/>
          </w:rPr>
          <w:t xml:space="preserve">25</w:t>
        </w:r>
        <w:r>
          <w:rPr>
            <w:rFonts w:ascii="Roboto" w:hAnsi="Roboto" w:cs="Roboto"/>
            <w:color w:val="2F4858"/>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Leasing-Only Tenant Placement</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F4858"/>
            <w:spacing w:val="0"/>
            <w:sz w:val="18"/>
            <w:szCs w:val="18"/>
          </w:rPr>
          <w:fldChar w:fldCharType="begin"/>
        </w:r>
        <w:r>
          <w:rPr>
            <w:rFonts w:ascii="Roboto" w:hAnsi="Roboto" w:cs="Roboto"/>
            <w:color w:val="2F4858"/>
            <w:spacing w:val="0"/>
            <w:sz w:val="18"/>
            <w:szCs w:val="18"/>
          </w:rPr>
          <w:instrText xml:space="preserve"> PAGEREF toc_6_5_2 \h </w:instrText>
        </w:r>
        <w:r>
          <w:rPr>
            <w:rFonts w:ascii="Roboto" w:hAnsi="Roboto" w:cs="Roboto"/>
            <w:color w:val="2F4858"/>
            <w:spacing w:val="0"/>
            <w:sz w:val="18"/>
            <w:szCs w:val="18"/>
          </w:rPr>
          <w:fldChar w:fldCharType="separate"/>
        </w:r>
        <w:r>
          <w:rPr>
            <w:rFonts w:ascii="Roboto" w:hAnsi="Roboto" w:cs="Roboto"/>
            <w:color w:val="2F4858"/>
            <w:spacing w:val="0"/>
            <w:sz w:val="18"/>
            <w:szCs w:val="18"/>
          </w:rPr>
          <w:t xml:space="preserve">26</w:t>
        </w:r>
        <w:r>
          <w:rPr>
            <w:rFonts w:ascii="Roboto" w:hAnsi="Roboto" w:cs="Roboto"/>
            <w:color w:val="2F4858"/>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F4858"/>
            <w:spacing w:val="0"/>
            <w:sz w:val="18"/>
            <w:szCs w:val="18"/>
          </w:rPr>
          <w:fldChar w:fldCharType="begin"/>
        </w:r>
        <w:r>
          <w:rPr>
            <w:rFonts w:ascii="Roboto" w:hAnsi="Roboto" w:cs="Roboto"/>
            <w:color w:val="2F4858"/>
            <w:spacing w:val="0"/>
            <w:sz w:val="18"/>
            <w:szCs w:val="18"/>
          </w:rPr>
          <w:instrText xml:space="preserve"> PAGEREF toc_6_5_3 \h </w:instrText>
        </w:r>
        <w:r>
          <w:rPr>
            <w:rFonts w:ascii="Roboto" w:hAnsi="Roboto" w:cs="Roboto"/>
            <w:color w:val="2F4858"/>
            <w:spacing w:val="0"/>
            <w:sz w:val="18"/>
            <w:szCs w:val="18"/>
          </w:rPr>
          <w:fldChar w:fldCharType="separate"/>
        </w:r>
        <w:r>
          <w:rPr>
            <w:rFonts w:ascii="Roboto" w:hAnsi="Roboto" w:cs="Roboto"/>
            <w:color w:val="2F4858"/>
            <w:spacing w:val="0"/>
            <w:sz w:val="18"/>
            <w:szCs w:val="18"/>
          </w:rPr>
          <w:t xml:space="preserve">27</w:t>
        </w:r>
        <w:r>
          <w:rPr>
            <w:rFonts w:ascii="Roboto" w:hAnsi="Roboto" w:cs="Roboto"/>
            <w:color w:val="2F4858"/>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F4858"/>
            <w:spacing w:val="0"/>
            <w:sz w:val="18"/>
            <w:szCs w:val="18"/>
          </w:rPr>
          <w:fldChar w:fldCharType="begin"/>
        </w:r>
        <w:r>
          <w:rPr>
            <w:rFonts w:ascii="Roboto" w:hAnsi="Roboto" w:cs="Roboto"/>
            <w:color w:val="2F4858"/>
            <w:spacing w:val="0"/>
            <w:sz w:val="18"/>
            <w:szCs w:val="18"/>
          </w:rPr>
          <w:instrText xml:space="preserve"> PAGEREF toc_6_5_4 \h </w:instrText>
        </w:r>
        <w:r>
          <w:rPr>
            <w:rFonts w:ascii="Roboto" w:hAnsi="Roboto" w:cs="Roboto"/>
            <w:color w:val="2F4858"/>
            <w:spacing w:val="0"/>
            <w:sz w:val="18"/>
            <w:szCs w:val="18"/>
          </w:rPr>
          <w:fldChar w:fldCharType="separate"/>
        </w:r>
        <w:r>
          <w:rPr>
            <w:rFonts w:ascii="Roboto" w:hAnsi="Roboto" w:cs="Roboto"/>
            <w:color w:val="2F4858"/>
            <w:spacing w:val="0"/>
            <w:sz w:val="18"/>
            <w:szCs w:val="18"/>
          </w:rPr>
          <w:t xml:space="preserve">27</w:t>
        </w:r>
        <w:r>
          <w:rPr>
            <w:rFonts w:ascii="Roboto" w:hAnsi="Roboto" w:cs="Roboto"/>
            <w:color w:val="2F4858"/>
            <w:spacing w:val="0"/>
            <w:sz w:val="18"/>
            <w:szCs w:val="18"/>
          </w:rPr>
          <w:fldChar w:fldCharType="end"/>
        </w:r>
      </w:hyperlink>
    </w:p>
    <w:p>
      <w:pPr>
        <w:keepNext/>
        <w:keepLines/>
        <w:tabs>
          <w:tab w:pos="10284" w:val="right"/>
        </w:tabs>
        <w:spacing w:line="276" w:lineRule="auto" w:before="280" w:after="160"/>
        <w:pBdr>
          <w:bottom w:val="single" w:sz="6" w:space="3" w:color="2F4858"/>
        </w:pBdr>
        <w:ind w:left="0"/>
      </w:pPr>
      <w:hyperlink w:anchor="toc_7" w:history="1">
        <w:r>
          <w:rPr>
            <w:rFonts w:ascii="Roboto" w:hAnsi="Roboto" w:cs="Roboto"/>
            <w:color w:val="2F4858"/>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2F4858"/>
          </w:rPr>
          <w:t xml:space="preserve"> </w:t>
        </w:r>
        <w:r>
          <w:rPr>
            <w:rFonts w:ascii="Roboto Bold" w:hAnsi="Roboto Bold" w:cs="Roboto Bold" w:eastAsia="Roboto Bold"/>
            <w:b w:val="0"/>
            <w:color w:val="FFFFFF"/>
            <w:spacing w:val="0"/>
            <w:sz w:val="20"/>
            <w:szCs w:val="20"/>
            <w:shd w:val="clear" w:color="auto" w:fill="2F4858"/>
          </w:rPr>
          <w:fldChar w:fldCharType="begin"/>
        </w:r>
        <w:r>
          <w:rPr>
            <w:rFonts w:ascii="Roboto Bold" w:hAnsi="Roboto Bold" w:cs="Roboto Bold" w:eastAsia="Roboto Bold"/>
            <w:b w:val="0"/>
            <w:color w:val="FFFFFF"/>
            <w:spacing w:val="0"/>
            <w:sz w:val="20"/>
            <w:szCs w:val="20"/>
            <w:shd w:val="clear" w:color="auto" w:fill="2F4858"/>
          </w:rPr>
          <w:instrText xml:space="preserve"> PAGEREF toc_7 \h </w:instrText>
        </w:r>
        <w:r>
          <w:rPr>
            <w:rFonts w:ascii="Roboto Bold" w:hAnsi="Roboto Bold" w:cs="Roboto Bold" w:eastAsia="Roboto Bold"/>
            <w:b w:val="0"/>
            <w:color w:val="FFFFFF"/>
            <w:spacing w:val="0"/>
            <w:sz w:val="20"/>
            <w:szCs w:val="20"/>
            <w:shd w:val="clear" w:color="auto" w:fill="2F4858"/>
          </w:rPr>
          <w:fldChar w:fldCharType="separate"/>
        </w:r>
        <w:r>
          <w:rPr>
            <w:rFonts w:ascii="Roboto Bold" w:hAnsi="Roboto Bold" w:cs="Roboto Bold" w:eastAsia="Roboto Bold"/>
            <w:b w:val="0"/>
            <w:color w:val="FFFFFF"/>
            <w:spacing w:val="0"/>
            <w:sz w:val="20"/>
            <w:szCs w:val="20"/>
            <w:shd w:val="clear" w:color="auto" w:fill="2F4858"/>
          </w:rPr>
          <w:t xml:space="preserve">28</w:t>
        </w:r>
        <w:r>
          <w:rPr>
            <w:rFonts w:ascii="Roboto Bold" w:hAnsi="Roboto Bold" w:cs="Roboto Bold" w:eastAsia="Roboto Bold"/>
            <w:b w:val="0"/>
            <w:color w:val="FFFFFF"/>
            <w:spacing w:val="0"/>
            <w:sz w:val="20"/>
            <w:szCs w:val="20"/>
            <w:shd w:val="clear" w:color="auto" w:fill="2F4858"/>
          </w:rPr>
          <w:fldChar w:fldCharType="end"/>
        </w:r>
        <w:r>
          <w:rPr>
            <w:rFonts w:ascii="Roboto" w:hAnsi="Roboto" w:cs="Roboto"/>
            <w:color w:val="FFFFFF"/>
            <w:spacing w:val="0"/>
            <w:sz w:val="20"/>
            <w:szCs w:val="20"/>
            <w:shd w:val="clear" w:color="auto" w:fill="2F4858"/>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toc_7_1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29</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toc_7_2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29</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toc_7_3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30</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toc_7_4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30</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toc_7_5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30</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toc_7_6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30</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toc_7_7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31</w:t>
        </w:r>
        <w:r>
          <w:rPr>
            <w:rFonts w:ascii="Roboto" w:hAnsi="Roboto" w:cs="Roboto"/>
            <w:color w:val="2F4858"/>
            <w:spacing w:val="0"/>
            <w:sz w:val="21"/>
            <w:szCs w:val="21"/>
          </w:rPr>
          <w:fldChar w:fldCharType="end"/>
        </w:r>
      </w:hyperlink>
    </w:p>
    <w:p>
      <w:pPr>
        <w:keepNext/>
        <w:keepLines/>
        <w:tabs>
          <w:tab w:pos="10284" w:val="right"/>
        </w:tabs>
        <w:spacing w:line="276" w:lineRule="auto" w:before="280" w:after="160"/>
        <w:pBdr>
          <w:bottom w:val="single" w:sz="6" w:space="3" w:color="2F4858"/>
        </w:pBdr>
        <w:ind w:left="0"/>
      </w:pPr>
      <w:hyperlink w:anchor="toc_8" w:history="1">
        <w:r>
          <w:rPr>
            <w:rFonts w:ascii="Roboto" w:hAnsi="Roboto" w:cs="Roboto"/>
            <w:color w:val="2F4858"/>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2F4858"/>
          </w:rPr>
          <w:t xml:space="preserve"> </w:t>
        </w:r>
        <w:r>
          <w:rPr>
            <w:rFonts w:ascii="Roboto Bold" w:hAnsi="Roboto Bold" w:cs="Roboto Bold" w:eastAsia="Roboto Bold"/>
            <w:b w:val="0"/>
            <w:color w:val="FFFFFF"/>
            <w:spacing w:val="0"/>
            <w:sz w:val="20"/>
            <w:szCs w:val="20"/>
            <w:shd w:val="clear" w:color="auto" w:fill="2F4858"/>
          </w:rPr>
          <w:fldChar w:fldCharType="begin"/>
        </w:r>
        <w:r>
          <w:rPr>
            <w:rFonts w:ascii="Roboto Bold" w:hAnsi="Roboto Bold" w:cs="Roboto Bold" w:eastAsia="Roboto Bold"/>
            <w:b w:val="0"/>
            <w:color w:val="FFFFFF"/>
            <w:spacing w:val="0"/>
            <w:sz w:val="20"/>
            <w:szCs w:val="20"/>
            <w:shd w:val="clear" w:color="auto" w:fill="2F4858"/>
          </w:rPr>
          <w:instrText xml:space="preserve"> PAGEREF toc_8 \h </w:instrText>
        </w:r>
        <w:r>
          <w:rPr>
            <w:rFonts w:ascii="Roboto Bold" w:hAnsi="Roboto Bold" w:cs="Roboto Bold" w:eastAsia="Roboto Bold"/>
            <w:b w:val="0"/>
            <w:color w:val="FFFFFF"/>
            <w:spacing w:val="0"/>
            <w:sz w:val="20"/>
            <w:szCs w:val="20"/>
            <w:shd w:val="clear" w:color="auto" w:fill="2F4858"/>
          </w:rPr>
          <w:fldChar w:fldCharType="separate"/>
        </w:r>
        <w:r>
          <w:rPr>
            <w:rFonts w:ascii="Roboto Bold" w:hAnsi="Roboto Bold" w:cs="Roboto Bold" w:eastAsia="Roboto Bold"/>
            <w:b w:val="0"/>
            <w:color w:val="FFFFFF"/>
            <w:spacing w:val="0"/>
            <w:sz w:val="20"/>
            <w:szCs w:val="20"/>
            <w:shd w:val="clear" w:color="auto" w:fill="2F4858"/>
          </w:rPr>
          <w:t xml:space="preserve">32</w:t>
        </w:r>
        <w:r>
          <w:rPr>
            <w:rFonts w:ascii="Roboto Bold" w:hAnsi="Roboto Bold" w:cs="Roboto Bold" w:eastAsia="Roboto Bold"/>
            <w:b w:val="0"/>
            <w:color w:val="FFFFFF"/>
            <w:spacing w:val="0"/>
            <w:sz w:val="20"/>
            <w:szCs w:val="20"/>
            <w:shd w:val="clear" w:color="auto" w:fill="2F4858"/>
          </w:rPr>
          <w:fldChar w:fldCharType="end"/>
        </w:r>
        <w:r>
          <w:rPr>
            <w:rFonts w:ascii="Roboto" w:hAnsi="Roboto" w:cs="Roboto"/>
            <w:color w:val="FFFFFF"/>
            <w:spacing w:val="0"/>
            <w:sz w:val="20"/>
            <w:szCs w:val="20"/>
            <w:shd w:val="clear" w:color="auto" w:fill="2F4858"/>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toc_8_1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33</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toc_8_2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33</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toc_8_3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33</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toc_8_4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33</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toc_8_5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33</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Licensing &amp; Trust Accounting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toc_8_6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34</w:t>
        </w:r>
        <w:r>
          <w:rPr>
            <w:rFonts w:ascii="Roboto" w:hAnsi="Roboto" w:cs="Roboto"/>
            <w:color w:val="2F4858"/>
            <w:spacing w:val="0"/>
            <w:sz w:val="21"/>
            <w:szCs w:val="21"/>
          </w:rPr>
          <w:fldChar w:fldCharType="end"/>
        </w:r>
      </w:hyperlink>
    </w:p>
    <w:p>
      <w:pPr>
        <w:keepNext/>
        <w:keepLines/>
        <w:tabs>
          <w:tab w:pos="10284" w:val="right"/>
        </w:tabs>
        <w:spacing w:line="276" w:lineRule="auto" w:before="280" w:after="160"/>
        <w:pBdr>
          <w:bottom w:val="single" w:sz="6" w:space="3" w:color="2F4858"/>
        </w:pBdr>
        <w:ind w:left="0"/>
      </w:pPr>
      <w:hyperlink w:anchor="toc_9" w:history="1">
        <w:r>
          <w:rPr>
            <w:rFonts w:ascii="Roboto" w:hAnsi="Roboto" w:cs="Roboto"/>
            <w:color w:val="2F4858"/>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2F4858"/>
          </w:rPr>
          <w:t xml:space="preserve"> </w:t>
        </w:r>
        <w:r>
          <w:rPr>
            <w:rFonts w:ascii="Roboto Bold" w:hAnsi="Roboto Bold" w:cs="Roboto Bold" w:eastAsia="Roboto Bold"/>
            <w:b w:val="0"/>
            <w:color w:val="FFFFFF"/>
            <w:spacing w:val="0"/>
            <w:sz w:val="20"/>
            <w:szCs w:val="20"/>
            <w:shd w:val="clear" w:color="auto" w:fill="2F4858"/>
          </w:rPr>
          <w:fldChar w:fldCharType="begin"/>
        </w:r>
        <w:r>
          <w:rPr>
            <w:rFonts w:ascii="Roboto Bold" w:hAnsi="Roboto Bold" w:cs="Roboto Bold" w:eastAsia="Roboto Bold"/>
            <w:b w:val="0"/>
            <w:color w:val="FFFFFF"/>
            <w:spacing w:val="0"/>
            <w:sz w:val="20"/>
            <w:szCs w:val="20"/>
            <w:shd w:val="clear" w:color="auto" w:fill="2F4858"/>
          </w:rPr>
          <w:instrText xml:space="preserve"> PAGEREF toc_9 \h </w:instrText>
        </w:r>
        <w:r>
          <w:rPr>
            <w:rFonts w:ascii="Roboto Bold" w:hAnsi="Roboto Bold" w:cs="Roboto Bold" w:eastAsia="Roboto Bold"/>
            <w:b w:val="0"/>
            <w:color w:val="FFFFFF"/>
            <w:spacing w:val="0"/>
            <w:sz w:val="20"/>
            <w:szCs w:val="20"/>
            <w:shd w:val="clear" w:color="auto" w:fill="2F4858"/>
          </w:rPr>
          <w:fldChar w:fldCharType="separate"/>
        </w:r>
        <w:r>
          <w:rPr>
            <w:rFonts w:ascii="Roboto Bold" w:hAnsi="Roboto Bold" w:cs="Roboto Bold" w:eastAsia="Roboto Bold"/>
            <w:b w:val="0"/>
            <w:color w:val="FFFFFF"/>
            <w:spacing w:val="0"/>
            <w:sz w:val="20"/>
            <w:szCs w:val="20"/>
            <w:shd w:val="clear" w:color="auto" w:fill="2F4858"/>
          </w:rPr>
          <w:t xml:space="preserve">36</w:t>
        </w:r>
        <w:r>
          <w:rPr>
            <w:rFonts w:ascii="Roboto Bold" w:hAnsi="Roboto Bold" w:cs="Roboto Bold" w:eastAsia="Roboto Bold"/>
            <w:b w:val="0"/>
            <w:color w:val="FFFFFF"/>
            <w:spacing w:val="0"/>
            <w:sz w:val="20"/>
            <w:szCs w:val="20"/>
            <w:shd w:val="clear" w:color="auto" w:fill="2F4858"/>
          </w:rPr>
          <w:fldChar w:fldCharType="end"/>
        </w:r>
        <w:r>
          <w:rPr>
            <w:rFonts w:ascii="Roboto" w:hAnsi="Roboto" w:cs="Roboto"/>
            <w:color w:val="FFFFFF"/>
            <w:spacing w:val="0"/>
            <w:sz w:val="20"/>
            <w:szCs w:val="20"/>
            <w:shd w:val="clear" w:color="auto" w:fill="2F4858"/>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toc_9_1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37</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toc_9_2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37</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toc_9_3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38</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F4858"/>
            <w:spacing w:val="0"/>
            <w:sz w:val="18"/>
            <w:szCs w:val="18"/>
          </w:rPr>
          <w:fldChar w:fldCharType="begin"/>
        </w:r>
        <w:r>
          <w:rPr>
            <w:rFonts w:ascii="Roboto" w:hAnsi="Roboto" w:cs="Roboto"/>
            <w:color w:val="2F4858"/>
            <w:spacing w:val="0"/>
            <w:sz w:val="18"/>
            <w:szCs w:val="18"/>
          </w:rPr>
          <w:instrText xml:space="preserve"> PAGEREF toc_9_3_1 \h </w:instrText>
        </w:r>
        <w:r>
          <w:rPr>
            <w:rFonts w:ascii="Roboto" w:hAnsi="Roboto" w:cs="Roboto"/>
            <w:color w:val="2F4858"/>
            <w:spacing w:val="0"/>
            <w:sz w:val="18"/>
            <w:szCs w:val="18"/>
          </w:rPr>
          <w:fldChar w:fldCharType="separate"/>
        </w:r>
        <w:r>
          <w:rPr>
            <w:rFonts w:ascii="Roboto" w:hAnsi="Roboto" w:cs="Roboto"/>
            <w:color w:val="2F4858"/>
            <w:spacing w:val="0"/>
            <w:sz w:val="18"/>
            <w:szCs w:val="18"/>
          </w:rPr>
          <w:t xml:space="preserve">38</w:t>
        </w:r>
        <w:r>
          <w:rPr>
            <w:rFonts w:ascii="Roboto" w:hAnsi="Roboto" w:cs="Roboto"/>
            <w:color w:val="2F4858"/>
            <w:spacing w:val="0"/>
            <w:sz w:val="18"/>
            <w:szCs w:val="18"/>
          </w:rPr>
          <w:fldChar w:fldCharType="end"/>
        </w:r>
      </w:hyperlink>
    </w:p>
    <w:p>
      <w:pPr>
        <w:keepNext/>
        <w:keepLines/>
        <w:tabs>
          <w:tab w:pos="10284" w:val="right"/>
        </w:tabs>
        <w:spacing w:line="276" w:lineRule="auto" w:before="280" w:after="160"/>
        <w:pBdr>
          <w:bottom w:val="single" w:sz="6" w:space="3" w:color="2F4858"/>
        </w:pBdr>
        <w:ind w:left="0"/>
      </w:pPr>
      <w:hyperlink w:anchor="toc_10" w:history="1">
        <w:r>
          <w:rPr>
            <w:rFonts w:ascii="Roboto" w:hAnsi="Roboto" w:cs="Roboto"/>
            <w:color w:val="2F4858"/>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2F4858"/>
          </w:rPr>
          <w:t xml:space="preserve"> </w:t>
        </w:r>
        <w:r>
          <w:rPr>
            <w:rFonts w:ascii="Roboto Bold" w:hAnsi="Roboto Bold" w:cs="Roboto Bold" w:eastAsia="Roboto Bold"/>
            <w:b w:val="0"/>
            <w:color w:val="FFFFFF"/>
            <w:spacing w:val="0"/>
            <w:sz w:val="20"/>
            <w:szCs w:val="20"/>
            <w:shd w:val="clear" w:color="auto" w:fill="2F4858"/>
          </w:rPr>
          <w:fldChar w:fldCharType="begin"/>
        </w:r>
        <w:r>
          <w:rPr>
            <w:rFonts w:ascii="Roboto Bold" w:hAnsi="Roboto Bold" w:cs="Roboto Bold" w:eastAsia="Roboto Bold"/>
            <w:b w:val="0"/>
            <w:color w:val="FFFFFF"/>
            <w:spacing w:val="0"/>
            <w:sz w:val="20"/>
            <w:szCs w:val="20"/>
            <w:shd w:val="clear" w:color="auto" w:fill="2F4858"/>
          </w:rPr>
          <w:instrText xml:space="preserve"> PAGEREF toc_10 \h </w:instrText>
        </w:r>
        <w:r>
          <w:rPr>
            <w:rFonts w:ascii="Roboto Bold" w:hAnsi="Roboto Bold" w:cs="Roboto Bold" w:eastAsia="Roboto Bold"/>
            <w:b w:val="0"/>
            <w:color w:val="FFFFFF"/>
            <w:spacing w:val="0"/>
            <w:sz w:val="20"/>
            <w:szCs w:val="20"/>
            <w:shd w:val="clear" w:color="auto" w:fill="2F4858"/>
          </w:rPr>
          <w:fldChar w:fldCharType="separate"/>
        </w:r>
        <w:r>
          <w:rPr>
            <w:rFonts w:ascii="Roboto Bold" w:hAnsi="Roboto Bold" w:cs="Roboto Bold" w:eastAsia="Roboto Bold"/>
            <w:b w:val="0"/>
            <w:color w:val="FFFFFF"/>
            <w:spacing w:val="0"/>
            <w:sz w:val="20"/>
            <w:szCs w:val="20"/>
            <w:shd w:val="clear" w:color="auto" w:fill="2F4858"/>
          </w:rPr>
          <w:t xml:space="preserve">39</w:t>
        </w:r>
        <w:r>
          <w:rPr>
            <w:rFonts w:ascii="Roboto Bold" w:hAnsi="Roboto Bold" w:cs="Roboto Bold" w:eastAsia="Roboto Bold"/>
            <w:b w:val="0"/>
            <w:color w:val="FFFFFF"/>
            <w:spacing w:val="0"/>
            <w:sz w:val="20"/>
            <w:szCs w:val="20"/>
            <w:shd w:val="clear" w:color="auto" w:fill="2F4858"/>
          </w:rPr>
          <w:fldChar w:fldCharType="end"/>
        </w:r>
        <w:r>
          <w:rPr>
            <w:rFonts w:ascii="Roboto" w:hAnsi="Roboto" w:cs="Roboto"/>
            <w:color w:val="FFFFFF"/>
            <w:spacing w:val="0"/>
            <w:sz w:val="20"/>
            <w:szCs w:val="20"/>
            <w:shd w:val="clear" w:color="auto" w:fill="2F4858"/>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toc_10_1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40</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toc_10_2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40</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F4858"/>
            <w:spacing w:val="0"/>
            <w:sz w:val="18"/>
            <w:szCs w:val="18"/>
          </w:rPr>
          <w:fldChar w:fldCharType="begin"/>
        </w:r>
        <w:r>
          <w:rPr>
            <w:rFonts w:ascii="Roboto" w:hAnsi="Roboto" w:cs="Roboto"/>
            <w:color w:val="2F4858"/>
            <w:spacing w:val="0"/>
            <w:sz w:val="18"/>
            <w:szCs w:val="18"/>
          </w:rPr>
          <w:instrText xml:space="preserve"> PAGEREF toc_10_2_1 \h </w:instrText>
        </w:r>
        <w:r>
          <w:rPr>
            <w:rFonts w:ascii="Roboto" w:hAnsi="Roboto" w:cs="Roboto"/>
            <w:color w:val="2F4858"/>
            <w:spacing w:val="0"/>
            <w:sz w:val="18"/>
            <w:szCs w:val="18"/>
          </w:rPr>
          <w:fldChar w:fldCharType="separate"/>
        </w:r>
        <w:r>
          <w:rPr>
            <w:rFonts w:ascii="Roboto" w:hAnsi="Roboto" w:cs="Roboto"/>
            <w:color w:val="2F4858"/>
            <w:spacing w:val="0"/>
            <w:sz w:val="18"/>
            <w:szCs w:val="18"/>
          </w:rPr>
          <w:t xml:space="preserve">40</w:t>
        </w:r>
        <w:r>
          <w:rPr>
            <w:rFonts w:ascii="Roboto" w:hAnsi="Roboto" w:cs="Roboto"/>
            <w:color w:val="2F4858"/>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toc_10_3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42</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toc_10_4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43</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toc_10_5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44</w:t>
        </w:r>
        <w:r>
          <w:rPr>
            <w:rFonts w:ascii="Roboto" w:hAnsi="Roboto" w:cs="Roboto"/>
            <w:color w:val="2F4858"/>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F4858"/>
            <w:spacing w:val="0"/>
            <w:sz w:val="21"/>
            <w:szCs w:val="21"/>
          </w:rPr>
          <w:fldChar w:fldCharType="begin"/>
        </w:r>
        <w:r>
          <w:rPr>
            <w:rFonts w:ascii="Roboto" w:hAnsi="Roboto" w:cs="Roboto"/>
            <w:color w:val="2F4858"/>
            <w:spacing w:val="0"/>
            <w:sz w:val="21"/>
            <w:szCs w:val="21"/>
          </w:rPr>
          <w:instrText xml:space="preserve"> PAGEREF toc_10_6 \h </w:instrText>
        </w:r>
        <w:r>
          <w:rPr>
            <w:rFonts w:ascii="Roboto" w:hAnsi="Roboto" w:cs="Roboto"/>
            <w:color w:val="2F4858"/>
            <w:spacing w:val="0"/>
            <w:sz w:val="21"/>
            <w:szCs w:val="21"/>
          </w:rPr>
          <w:fldChar w:fldCharType="separate"/>
        </w:r>
        <w:r>
          <w:rPr>
            <w:rFonts w:ascii="Roboto" w:hAnsi="Roboto" w:cs="Roboto"/>
            <w:color w:val="2F4858"/>
            <w:spacing w:val="0"/>
            <w:sz w:val="21"/>
            <w:szCs w:val="21"/>
          </w:rPr>
          <w:t xml:space="preserve">45</w:t>
        </w:r>
        <w:r>
          <w:rPr>
            <w:rFonts w:ascii="Roboto" w:hAnsi="Roboto" w:cs="Roboto"/>
            <w:color w:val="2F4858"/>
            <w:spacing w:val="0"/>
            <w:sz w:val="21"/>
            <w:szCs w:val="21"/>
          </w:rPr>
          <w:fldChar w:fldCharType="end"/>
        </w:r>
      </w:hyperlink>
    </w:p>
    <w:p>
      <w:pPr>
        <w:keepNext/>
        <w:keepLines/>
        <w:tabs>
          <w:tab w:pos="10284" w:val="right"/>
        </w:tabs>
        <w:spacing w:line="276" w:lineRule="auto" w:before="280" w:after="160"/>
        <w:pBdr>
          <w:bottom w:val="single" w:sz="6" w:space="3" w:color="2F4858"/>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2F4858"/>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2F4858"/>
          </w:rPr>
          <w:t xml:space="preserve"> </w:t>
        </w:r>
        <w:r>
          <w:rPr>
            <w:rFonts w:ascii="Roboto Bold" w:hAnsi="Roboto Bold" w:cs="Roboto Bold" w:eastAsia="Roboto Bold"/>
            <w:b w:val="0"/>
            <w:color w:val="FFFFFF"/>
            <w:spacing w:val="0"/>
            <w:sz w:val="20"/>
            <w:szCs w:val="20"/>
            <w:shd w:val="clear" w:color="auto" w:fill="2F4858"/>
          </w:rPr>
          <w:fldChar w:fldCharType="begin"/>
        </w:r>
        <w:r>
          <w:rPr>
            <w:rFonts w:ascii="Roboto Bold" w:hAnsi="Roboto Bold" w:cs="Roboto Bold" w:eastAsia="Roboto Bold"/>
            <w:b w:val="0"/>
            <w:color w:val="FFFFFF"/>
            <w:spacing w:val="0"/>
            <w:sz w:val="20"/>
            <w:szCs w:val="20"/>
            <w:shd w:val="clear" w:color="auto" w:fill="2F4858"/>
          </w:rPr>
          <w:instrText xml:space="preserve"> PAGEREF toc_11 \h </w:instrText>
        </w:r>
        <w:r>
          <w:rPr>
            <w:rFonts w:ascii="Roboto Bold" w:hAnsi="Roboto Bold" w:cs="Roboto Bold" w:eastAsia="Roboto Bold"/>
            <w:b w:val="0"/>
            <w:color w:val="FFFFFF"/>
            <w:spacing w:val="0"/>
            <w:sz w:val="20"/>
            <w:szCs w:val="20"/>
            <w:shd w:val="clear" w:color="auto" w:fill="2F4858"/>
          </w:rPr>
          <w:fldChar w:fldCharType="separate"/>
        </w:r>
        <w:r>
          <w:rPr>
            <w:rFonts w:ascii="Roboto Bold" w:hAnsi="Roboto Bold" w:cs="Roboto Bold" w:eastAsia="Roboto Bold"/>
            <w:b w:val="0"/>
            <w:color w:val="FFFFFF"/>
            <w:spacing w:val="0"/>
            <w:sz w:val="20"/>
            <w:szCs w:val="20"/>
            <w:shd w:val="clear" w:color="auto" w:fill="2F4858"/>
          </w:rPr>
          <w:t xml:space="preserve">46</w:t>
        </w:r>
        <w:r>
          <w:rPr>
            <w:rFonts w:ascii="Roboto Bold" w:hAnsi="Roboto Bold" w:cs="Roboto Bold" w:eastAsia="Roboto Bold"/>
            <w:b w:val="0"/>
            <w:color w:val="FFFFFF"/>
            <w:spacing w:val="0"/>
            <w:sz w:val="20"/>
            <w:szCs w:val="20"/>
            <w:shd w:val="clear" w:color="auto" w:fill="2F4858"/>
          </w:rPr>
          <w:fldChar w:fldCharType="end"/>
        </w:r>
        <w:r>
          <w:rPr>
            <w:rFonts w:ascii="Roboto" w:hAnsi="Roboto" w:cs="Roboto"/>
            <w:color w:val="FFFFFF"/>
            <w:spacing w:val="0"/>
            <w:sz w:val="20"/>
            <w:szCs w:val="20"/>
            <w:shd w:val="clear" w:color="auto" w:fill="2F4858"/>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F4858"/>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F4858"/>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2F4858"/>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Keelridge Property Management is a residential property management firm opening in Jacksonville, Florida, under a Florida real estate broker's licence. It runs single-family homes, townhomes and small multifamily buildings for their owners: it finds and screens tenants, collects rent into a trust account, sends repairs to vetted local vendors, inspects each home and pays owners their net rent every month.</w:t>
      </w:r>
    </w:p>
    <w:p>
      <w:r>
        <w:rPr>
          <w:b w:val="0"/>
          <w:i w:val="0"/>
        </w:rPr>
        <w:t>It sells two services: full-service management at 9% of collected rent, and leasing-only tenant placement for owners who will run the home themselves once it is let. Its clients are investors who own one to ten Jacksonville rentals, many living out of state, military families keeping a home when orders move them, and accidental landlords.</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4F4F4"/>
              <w:left w:val="single" w:sz="18" w:space="0" w:color="2F4858"/>
              <w:bottom w:val="single" w:sz="2" w:space="0" w:color="F4F4F4"/>
              <w:right w:val="single" w:sz="2" w:space="0" w:color="F4F4F4"/>
            </w:tcBorders>
            <w:shd w:val="clear" w:color="auto" w:fill="F4F4F4"/>
            <w:tcMar>
              <w:top w:w="226" w:type="dxa"/>
              <w:left w:w="283" w:type="dxa"/>
              <w:bottom w:w="226" w:type="dxa"/>
              <w:right w:w="283" w:type="dxa"/>
            </w:tcMar>
          </w:tcPr>
          <w:p>
            <w:pPr>
              <w:spacing w:before="0" w:after="0" w:line="336" w:lineRule="auto"/>
            </w:pPr>
            <w:r>
              <w:rPr>
                <w:rFonts w:ascii="Roboto" w:hAnsi="Roboto" w:cs="Roboto"/>
                <w:b w:val="0"/>
                <w:i w:val="0"/>
                <w:color w:val="0A0A0A"/>
                <w:spacing w:val="0"/>
                <w:sz w:val="21"/>
              </w:rPr>
              <w:t>To run every owner's rental as carefully as if it were our own, with the rent paid on time, repairs billed at what they cost, and the condition of each home visible to its owner wherever they live.</w:t>
            </w:r>
          </w:p>
        </w:tc>
      </w:tr>
    </w:tbl>
    <w:p>
      <w:pPr>
        <w:spacing w:before="0" w:after="0" w:line="20" w:lineRule="exact"/>
      </w:pPr>
    </w:p>
    <w:p>
      <w:bookmarkStart w:id="4" w:name="toc_1_3"/>
      <w:pPr>
        <w:pStyle w:val="Heading2"/>
      </w:pPr>
      <w:r>
        <w:t xml:space="preserve">1.3  </w:t>
      </w:r>
      <w:r>
        <w:t>Location &amp; Market Opportunity</w:t>
      </w:r>
      <w:bookmarkEnd w:id="4"/>
    </w:p>
    <w:p>
      <w:r>
        <w:rPr>
          <w:b w:val="0"/>
          <w:i w:val="0"/>
        </w:rPr>
        <w:t>Keelridge works from a small office on Jacksonville's Southside, central to Duval County and within a short drive of the suburbs in St. Johns and Clay counties where much of the metro's rental housing sits. The Jacksonville metro is home to 1,760,548 people, and 230,447 of its households, 32.6%, rent their home. 78,906 of them rent a house or townhome, the property type Keelridge is built to manage.</w:t>
      </w:r>
    </w:p>
    <w:p>
      <w:r>
        <w:rPr>
          <w:b w:val="0"/>
          <w:i w:val="0"/>
        </w:rPr>
        <w:t>The metro's 106,936 rented homes in one to four unit buildings, at a median gross rent of $1,625, represent about $177.0 million a year in management fees if every one were professionally managed. Today most are not: nationally, only 22.3% of single-unit rentals are run by a management company.</w:t>
      </w:r>
    </w:p>
    <w:p>
      <w:r>
        <w:rPr>
          <w:b w:val="0"/>
          <w:i w:val="0"/>
        </w:rPr>
        <w:t>Duval County's military economy, which employs 68,060 people around Naval Air Station Jacksonville and Naval Station Mayport, adds a steady flow of owners who keep a home as a rental when they are transferred.</w:t>
      </w:r>
    </w:p>
    <w:p>
      <w:bookmarkStart w:id="5" w:name="toc_1_4"/>
      <w:pPr>
        <w:pStyle w:val="Heading2"/>
      </w:pPr>
      <w:r>
        <w:t xml:space="preserve">1.4  </w:t>
      </w:r>
      <w:r>
        <w:t>Unique Selling Points</w:t>
      </w:r>
      <w:bookmarkEnd w:id="5"/>
    </w:p>
    <w:p>
      <w:pPr>
        <w:pStyle w:val="ListBullet"/>
      </w:pPr>
      <w:r>
        <w:rPr>
          <w:b w:val="0"/>
          <w:i w:val="0"/>
        </w:rPr>
        <w:t>Repairs billed to the owner at the vendor's invoice price, with no markup and the invoice attached to the statement.</w:t>
      </w:r>
    </w:p>
    <w:p>
      <w:pPr>
        <w:pStyle w:val="ListBullet"/>
      </w:pPr>
      <w:r>
        <w:rPr>
          <w:b w:val="0"/>
          <w:i w:val="0"/>
        </w:rPr>
        <w:t>Photographed move-in, move-out and mid-lease inspections posted to an online owner portal, for owners who cannot visit.</w:t>
      </w:r>
    </w:p>
    <w:p>
      <w:pPr>
        <w:pStyle w:val="ListBullet"/>
      </w:pPr>
      <w:r>
        <w:rPr>
          <w:b w:val="0"/>
          <w:i w:val="0"/>
        </w:rPr>
        <w:t>A licensed broker managing the book directly, with every owner assigned to one named person.</w:t>
      </w:r>
    </w:p>
    <w:p>
      <w:pPr>
        <w:pStyle w:val="ListBullet"/>
        <w:spacing w:after="227"/>
      </w:pPr>
      <w:r>
        <w:rPr>
          <w:b w:val="0"/>
          <w:i w:val="0"/>
        </w:rPr>
        <w:t>Management agreements written for military owners, with a clear exit when orders bring them home.</w:t>
      </w:r>
    </w:p>
    <w:p>
      <w:bookmarkStart w:id="6" w:name="toc_1_5"/>
      <w:pPr>
        <w:pStyle w:val="Heading2"/>
      </w:pPr>
      <w:r>
        <w:t xml:space="preserve">1.5  </w:t>
      </w:r>
      <w:r>
        <w:t>Financial Highlights</w:t>
      </w:r>
      <w:bookmarkEnd w:id="6"/>
    </w:p>
    <w:p>
      <w:r>
        <w:rPr>
          <w:b w:val="0"/>
          <w:i w:val="0"/>
        </w:rPr>
        <w:t>Revenue is projected at $262,080 in the first year, rising to $314,496 in the second and $377,395 in the third as the book of managed homes grows and leasing and renewal fees follow it. Gross margin holds at 86.0%, because the direct cost of each home is software, listings and screening rather than labour or stock.</w:t>
      </w:r>
    </w:p>
    <w:p>
      <w:r>
        <w:rPr>
          <w:b w:val="0"/>
          <w:i w:val="0"/>
        </w:rPr>
        <w:t>Net income is $30,250 in the first year, an 11.5% margin, growing to $44,272 and then $61,009, or 16.2% of revenue, by the third year. Break-even revenue is $200,404, the equivalent of about 111 doors on the monthly fee alone, which the first year clears. Even the conservative scenario leaves the third year with $41,720 of net income.</w:t>
      </w:r>
    </w:p>
    <w:p>
      <w:bookmarkStart w:id="7" w:name="toc_1_6"/>
      <w:pPr>
        <w:pStyle w:val="Heading2"/>
      </w:pPr>
      <w:r>
        <w:t xml:space="preserve">1.6  </w:t>
      </w:r>
      <w:r>
        <w:t>Funding Requirement</w:t>
      </w:r>
      <w:bookmarkEnd w:id="7"/>
    </w:p>
    <w:p>
      <w:r>
        <w:rPr>
          <w:b w:val="0"/>
          <w:i w:val="0"/>
        </w:rPr>
        <w:t>Keelridge needs $59,500 to open. Its two owners are contributing $50,000 of their own savings, and a $30,000 small business loan at 9.5% over five years funds the rest, leaving a cash cushion for the first months while the book is signed. No outside equity is sought, and profits stay in the business.</w:t>
      </w:r>
    </w:p>
    <w:p>
      <w:r>
        <w:rPr>
          <w:b w:val="0"/>
          <w:i w:val="0"/>
        </w:rPr>
        <w:t>The money pays for the office fit-out and equipment, software and website, licensing, insurance and legal set-up, launch marketing and a working capital reserve.</w:t>
      </w:r>
    </w:p>
    <w:p>
      <w:r>
        <w:rPr>
          <w:b w:val="0"/>
          <w:i w:val="0"/>
        </w:rPr>
        <w:t>Taken together, the plan rests on a licensed broker, a disciplined trust account and a promise of transparency that owners rarely get from a manager, aimed at the many Jacksonville rentals still run by owners who would rather not. The funding buys the office, systems and first year of marketing that turn those owners into a book of managed homes.</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$262,080.00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$314,496.00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$377,395.20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$953,971.20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$36,691.20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$44,029.44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$52,835.33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$133,555.97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$225,388.80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$270,466.56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$324,559.87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$820,415.23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$172,347.12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$199,616.54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$232,339.85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$604,303.51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$231,829.57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$270,223.59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$316,386.47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$818,439.63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$30,250.43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$44,272.41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$61,008.73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$135,531.57</w:t>
            </w:r>
          </w:p>
        </w:tc>
      </w:tr>
    </w:tbl>
    <w:p>
      <w:pPr>
        <w:keepLines/>
        <w:spacing w:before="200" w:after="160" w:line="240" w:lineRule="auto"/>
      </w:pPr>
      <w:hyperlink r:id="rId17">
        <w:r>
          <w:drawing>
            <wp:inline xmlns:a="http://schemas.openxmlformats.org/drawingml/2006/main" xmlns:pic="http://schemas.openxmlformats.org/drawingml/2006/picture">
              <wp:extent cx="6530399" cy="519139"/>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F4858"/>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F4858"/>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2F4858"/>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Keelridge Property Management will be organised as a Florida limited liability company with two members, the founding broker Marcus Whitfield and the co-owner who runs its operations and trust accounting, Renee Calloway. Because renting or negotiating rentals for another person for pay is real estate brokerage under Florida law, the company will register as a brokerage with Marcus as its active broker, and every lease it signs and every fee it earns will run through that licence.</w:t>
      </w:r>
    </w:p>
    <w:p>
      <w:r>
        <w:rPr>
          <w:b w:val="0"/>
          <w:i w:val="0"/>
        </w:rPr>
        <w:t>The LLC keeps the owners' personal assets apart from the business. Owners' rents and tenants' deposits never become company money: they sit in separate trust accounts, and the company is paid only its fees from them.</w:t>
      </w:r>
    </w:p>
    <w:p>
      <w:bookmarkStart w:id="11" w:name="toc_2_2"/>
      <w:pPr>
        <w:pStyle w:val="Heading2"/>
      </w:pPr>
      <w:r>
        <w:t xml:space="preserve">2.2  </w:t>
      </w:r>
      <w:r>
        <w:t>Vision Statement</w:t>
      </w:r>
      <w:bookmarkEnd w:id="11"/>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4F4F4"/>
              <w:left w:val="single" w:sz="18" w:space="0" w:color="2F4858"/>
              <w:bottom w:val="single" w:sz="2" w:space="0" w:color="F4F4F4"/>
              <w:right w:val="single" w:sz="2" w:space="0" w:color="F4F4F4"/>
            </w:tcBorders>
            <w:shd w:val="clear" w:color="auto" w:fill="F4F4F4"/>
            <w:tcMar>
              <w:top w:w="226" w:type="dxa"/>
              <w:left w:w="283" w:type="dxa"/>
              <w:bottom w:w="226" w:type="dxa"/>
              <w:right w:w="283" w:type="dxa"/>
            </w:tcMar>
          </w:tcPr>
          <w:p>
            <w:pPr>
              <w:spacing w:before="0" w:after="0" w:line="336" w:lineRule="auto"/>
            </w:pPr>
            <w:r>
              <w:rPr>
                <w:rFonts w:ascii="Roboto" w:hAnsi="Roboto" w:cs="Roboto"/>
                <w:b w:val="0"/>
                <w:i w:val="0"/>
                <w:color w:val="0A0A0A"/>
                <w:spacing w:val="0"/>
                <w:sz w:val="21"/>
              </w:rPr>
              <w:t>To be the property manager Jacksonville owners recommend to each other: the firm an investor in another state, or a family on new orders, can hand a house to and stop worrying about.</w:t>
            </w:r>
          </w:p>
        </w:tc>
      </w:tr>
    </w:tbl>
    <w:p>
      <w:pPr>
        <w:spacing w:before="0" w:after="0" w:line="20" w:lineRule="exact"/>
      </w:pPr>
    </w:p>
    <w:p>
      <w:bookmarkStart w:id="12" w:name="toc_2_3"/>
      <w:pPr>
        <w:pStyle w:val="Heading2"/>
      </w:pPr>
      <w:r>
        <w:t xml:space="preserve">2.3  </w:t>
      </w:r>
      <w:r>
        <w:t>Background &amp; History</w:t>
      </w:r>
      <w:bookmarkEnd w:id="12"/>
    </w:p>
    <w:p>
      <w:r>
        <w:rPr>
          <w:b w:val="0"/>
          <w:i w:val="0"/>
        </w:rPr>
        <w:t>Keelridge is a new business, and what follows is the founders' stated plan rather than a trading history. Marcus Whitfield has spent nine years leasing and managing single-family rentals in Jacksonville for a local brokerage. Over that time he watched the same complaint drive owners from one manager to the next: surprise repair bills with a markup nobody explained, and months without hearing anything about the house itself.</w:t>
      </w:r>
    </w:p>
    <w:p>
      <w:r>
        <w:rPr>
          <w:b w:val="0"/>
          <w:i w:val="0"/>
        </w:rPr>
        <w:t>Renee Calloway spent six years as a bookkeeper for a residential management firm, reconciling its trust accounts and preparing owner statements. Together they designed Keelridge around the two things owners say they cannot get: repairs billed at cost, and a clear view of the home from wherever they live. The firm opens in January 2027 with the first owners Marcus has signed before launch, about 48 homes, and Jordan Pierce joining as its leasing and maintenance coordinator.</w:t>
      </w:r>
    </w:p>
    <w:p>
      <w:bookmarkStart w:id="13" w:name="toc_2_4"/>
      <w:pPr>
        <w:pStyle w:val="Heading2"/>
      </w:pPr>
      <w:r>
        <w:t xml:space="preserve">2.4  </w:t>
      </w:r>
      <w:r>
        <w:t>Future Goals</w:t>
      </w:r>
      <w:bookmarkEnd w:id="13"/>
    </w:p>
    <w:p>
      <w:r>
        <w:rPr>
          <w:b w:val="0"/>
          <w:i w:val="0"/>
        </w:rPr>
        <w:t>In the first 0 to 18 months, the goal is to build a book of 160 managed homes by the end of the first year, carry it past break-even during the second half of that year, and prove the model with the owners who matter most to it: out-of-state investors and military families.</w:t>
      </w:r>
    </w:p>
    <w:p>
      <w:r>
        <w:rPr>
          <w:b w:val="0"/>
          <w:i w:val="0"/>
        </w:rPr>
        <w:t>Over 1 to 3 years, the firm grows revenue from $262,080 in the first year to $377,395 in the third, through new owners and through leasing and renewal fees on a larger book. A portfolio manager joins in 2028 so that no one carries more than about 50 doors, and leasing-only clients are offered a route into full management after their first tenant.</w:t>
      </w:r>
    </w:p>
    <w:p>
      <w:r>
        <w:rPr>
          <w:b w:val="0"/>
          <w:i w:val="0"/>
        </w:rPr>
        <w:t>Over 3 to 5 years, the aim is a book of several hundred homes across Duval, St. Johns and Clay counties, served from the same office by a team of five or six, with the reputation among agents, relocation contacts and other owners that makes referrals the firm's main source of new business.</w:t>
      </w:r>
    </w:p>
    <w:p>
      <w:bookmarkStart w:id="14" w:name="toc_2_4_1"/>
      <w:pPr>
        <w:pStyle w:val="Heading2"/>
      </w:pPr>
      <w:r>
        <w:t xml:space="preserve">2.4.1  </w:t>
      </w:r>
      <w:r>
        <w:t>Business Owners</w:t>
      </w:r>
      <w:bookmarkEnd w:id="14"/>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trHeight w:val="340" w:hRule="exact"/>
        </w:trPr>
        <w:tc>
          <w:tcPr>
            <w:tcW w:type="dxa" w:w="7199"/>
            <w:tcBorders>
              <w:top w:val="single" w:sz="2" w:space="0" w:color="2F4858"/>
              <w:left w:val="single" w:sz="2" w:space="0" w:color="2F4858"/>
              <w:bottom w:val="single" w:sz="2" w:space="0" w:color="2F4858"/>
              <w:right w:val="single" w:sz="2" w:space="0" w:color="2F4858"/>
            </w:tcBorders>
            <w:shd w:val="clear" w:color="auto" w:fill="2F485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Marcus Whitfield</w:t>
            </w:r>
          </w:p>
        </w:tc>
        <w:tc>
          <w:tcPr>
            <w:tcW w:type="dxa" w:w="3085"/>
            <w:tcBorders>
              <w:top w:val="single" w:sz="2" w:space="0" w:color="E9B308"/>
              <w:left w:val="single" w:sz="2" w:space="0" w:color="E9B308"/>
              <w:bottom w:val="single" w:sz="2" w:space="0" w:color="E9B308"/>
              <w:right w:val="single" w:sz="2" w:space="0" w:color="E9B308"/>
            </w:tcBorders>
            <w:shd w:val="clear" w:color="auto" w:fill="E9B30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Renee Calloway</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70%"/>
                  <wp:cNvGraphicFramePr/>
                  <a:graphic>
                    <a:graphicData uri="http://schemas.microsoft.com/office/word/2010/wordprocessingShape">
                      <wps:wsp>
                        <wps:cNvSpPr/>
                        <wps:spPr>
                          <a:xfrm>
                            <a:off x="0" y="0"/>
                            <a:ext cx="342000" cy="342000"/>
                          </a:xfrm>
                          <a:prstGeom prst="ellipse">
                            <a:avLst/>
                          </a:prstGeom>
                          <a:solidFill>
                            <a:srgbClr val="2F4858"/>
                          </a:solidFill>
                          <a:ln>
                            <a:noFill/>
                          </a:ln>
                        </wps:spPr>
                        <wps:txbx>
                          <w:txbxContent>
                            <w:p>
                              <w:pPr>
                                <w:spacing w:before="0" w:after="0" w:line="240" w:lineRule="auto"/>
                                <w:jc w:val="center"/>
                              </w:pPr>
                              <w:r>
                                <w:rPr>
                                  <w:rFonts w:ascii="Roboto Medium" w:hAnsi="Roboto Medium" w:cs="Roboto Medium"/>
                                  <w:color w:val="FFFFFF"/>
                                  <w:sz w:val="18"/>
                                  <w:szCs w:val="18"/>
                                </w:rPr>
                                <w:t>70%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Marcus Whitfield</w:t>
            </w:r>
          </w:p>
          <w:p>
            <w:pPr>
              <w:spacing w:before="0" w:after="0" w:line="276" w:lineRule="auto"/>
            </w:pPr>
            <w:r>
              <w:rPr>
                <w:rFonts w:ascii="Roboto" w:hAnsi="Roboto" w:cs="Roboto"/>
                <w:b w:val="0"/>
                <w:i w:val="0"/>
                <w:color w:val="595959"/>
                <w:spacing w:val="0"/>
                <w:sz w:val="19"/>
              </w:rPr>
              <w:t>7,000 Shares</w:t>
            </w:r>
          </w:p>
        </w:tc>
      </w:tr>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7" name="Badge 30%"/>
                  <wp:cNvGraphicFramePr/>
                  <a:graphic>
                    <a:graphicData uri="http://schemas.microsoft.com/office/word/2010/wordprocessingShape">
                      <wps:wsp>
                        <wps:cNvSpPr/>
                        <wps:spPr>
                          <a:xfrm>
                            <a:off x="0" y="0"/>
                            <a:ext cx="342000" cy="342000"/>
                          </a:xfrm>
                          <a:prstGeom prst="ellipse">
                            <a:avLst/>
                          </a:prstGeom>
                          <a:solidFill>
                            <a:srgbClr val="E9B308"/>
                          </a:solidFill>
                          <a:ln>
                            <a:noFill/>
                          </a:ln>
                        </wps:spPr>
                        <wps:txbx>
                          <w:txbxContent>
                            <w:p>
                              <w:pPr>
                                <w:spacing w:before="0" w:after="0" w:line="240" w:lineRule="auto"/>
                                <w:jc w:val="center"/>
                              </w:pPr>
                              <w:r>
                                <w:rPr>
                                  <w:rFonts w:ascii="Roboto Medium" w:hAnsi="Roboto Medium" w:cs="Roboto Medium"/>
                                  <w:color w:val="FFFFFF"/>
                                  <w:sz w:val="18"/>
                                  <w:szCs w:val="18"/>
                                </w:rPr>
                                <w:t>30%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Renee Calloway</w:t>
            </w:r>
          </w:p>
          <w:p>
            <w:pPr>
              <w:spacing w:before="0" w:after="0" w:line="276" w:lineRule="auto"/>
            </w:pPr>
            <w:r>
              <w:rPr>
                <w:rFonts w:ascii="Roboto" w:hAnsi="Roboto" w:cs="Roboto"/>
                <w:b w:val="0"/>
                <w:i w:val="0"/>
                <w:color w:val="595959"/>
                <w:spacing w:val="0"/>
                <w:sz w:val="19"/>
              </w:rPr>
              <w:t>3,000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Marcus Whitfield, Renee Calloway and Jordan Pierce build a book of 160 managed homes across the Jacksonville metro.</w:t>
            </w:r>
          </w:p>
          <w:p>
            <w:pPr>
              <w:pStyle w:val="ListBullet"/>
              <w:spacing w:before="0" w:after="91" w:line="278" w:lineRule="exact"/>
              <w:ind w:left="283" w:hanging="227"/>
              <w:rPr>
                <w:sz w:val="19"/>
                <w:szCs w:val="19"/>
              </w:rPr>
            </w:pPr>
            <w:r>
              <w:rPr>
                <w:b w:val="0"/>
                <w:i w:val="0"/>
                <w:spacing w:val="0"/>
                <w:sz w:val="19"/>
              </w:rPr>
              <w:t>The book is drawn mainly from out-of-state investors, military owners on transfer and accidental landlords.</w:t>
            </w:r>
          </w:p>
          <w:p>
            <w:pPr>
              <w:pStyle w:val="ListBullet"/>
              <w:spacing w:before="0" w:after="91" w:line="278" w:lineRule="exact"/>
              <w:ind w:left="283" w:hanging="227"/>
              <w:rPr>
                <w:sz w:val="19"/>
                <w:szCs w:val="19"/>
              </w:rPr>
            </w:pPr>
            <w:r>
              <w:rPr>
                <w:b w:val="0"/>
                <w:i w:val="0"/>
                <w:spacing w:val="0"/>
                <w:sz w:val="19"/>
              </w:rPr>
              <w:t>Reaching 160 doors covers the office, the team and the debt with room to spare.</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Doors under management, counted on the first of each month from signed agreements.</w:t>
            </w:r>
          </w:p>
          <w:p>
            <w:pPr>
              <w:pStyle w:val="ListBullet"/>
              <w:spacing w:before="0" w:after="91" w:line="278" w:lineRule="exact"/>
              <w:ind w:left="283" w:hanging="227"/>
              <w:rPr>
                <w:sz w:val="19"/>
                <w:szCs w:val="19"/>
              </w:rPr>
            </w:pPr>
            <w:r>
              <w:rPr>
                <w:b w:val="0"/>
                <w:i w:val="0"/>
                <w:spacing w:val="0"/>
                <w:sz w:val="19"/>
              </w:rPr>
              <w:t>From about 48 doors at launch to 160 by the end of the first year.</w:t>
            </w:r>
          </w:p>
          <w:p>
            <w:pPr>
              <w:pStyle w:val="ListBullet"/>
              <w:spacing w:before="0" w:after="91" w:line="278" w:lineRule="exact"/>
              <w:ind w:left="283" w:hanging="227"/>
              <w:rPr>
                <w:sz w:val="19"/>
                <w:szCs w:val="19"/>
              </w:rPr>
            </w:pPr>
            <w:r>
              <w:rPr>
                <w:b w:val="0"/>
                <w:i w:val="0"/>
                <w:spacing w:val="0"/>
                <w:sz w:val="19"/>
              </w:rPr>
              <w:t>Days on market for each vacancy and owner retention, tracked alongside the door count.</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About 10 new doors a month, one or two homes per signed owner.</w:t>
            </w:r>
          </w:p>
          <w:p>
            <w:pPr>
              <w:pStyle w:val="ListBullet"/>
              <w:spacing w:before="0" w:after="91" w:line="278" w:lineRule="exact"/>
              <w:ind w:left="283" w:hanging="227"/>
              <w:rPr>
                <w:sz w:val="19"/>
                <w:szCs w:val="19"/>
              </w:rPr>
            </w:pPr>
            <w:r>
              <w:rPr>
                <w:b w:val="0"/>
                <w:i w:val="0"/>
                <w:spacing w:val="0"/>
                <w:sz w:val="19"/>
              </w:rPr>
              <w:t>The founder starts with owners from years of leasing work in Jacksonville.</w:t>
            </w:r>
          </w:p>
          <w:p>
            <w:pPr>
              <w:pStyle w:val="ListBullet"/>
              <w:spacing w:before="0" w:after="91" w:line="278" w:lineRule="exact"/>
              <w:ind w:left="283" w:hanging="227"/>
              <w:rPr>
                <w:sz w:val="19"/>
                <w:szCs w:val="19"/>
              </w:rPr>
            </w:pPr>
            <w:r>
              <w:rPr>
                <w:b w:val="0"/>
                <w:i w:val="0"/>
                <w:spacing w:val="0"/>
                <w:sz w:val="19"/>
              </w:rPr>
              <w:t>Three people at about 50 doors each is the trade's normal staffing ratio.</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Doors are the business: every fee, leasing, renewal and inspection rides on them.</w:t>
            </w:r>
          </w:p>
          <w:p>
            <w:pPr>
              <w:pStyle w:val="ListBullet"/>
              <w:spacing w:before="0" w:after="91" w:line="278" w:lineRule="exact"/>
              <w:ind w:left="283" w:hanging="227"/>
              <w:rPr>
                <w:sz w:val="19"/>
                <w:szCs w:val="19"/>
              </w:rPr>
            </w:pPr>
            <w:r>
              <w:rPr>
                <w:b w:val="0"/>
                <w:i w:val="0"/>
                <w:spacing w:val="0"/>
                <w:sz w:val="19"/>
              </w:rPr>
              <w:t>Above-average metro vacancy is pushing self-managing owners to hand homes over now.</w:t>
            </w:r>
          </w:p>
          <w:p>
            <w:pPr>
              <w:pStyle w:val="ListBullet"/>
              <w:spacing w:before="0" w:after="91" w:line="278" w:lineRule="exact"/>
              <w:ind w:left="283" w:hanging="227"/>
              <w:rPr>
                <w:sz w:val="19"/>
                <w:szCs w:val="19"/>
              </w:rPr>
            </w:pPr>
            <w:r>
              <w:rPr>
                <w:b w:val="0"/>
                <w:i w:val="0"/>
                <w:spacing w:val="0"/>
                <w:sz w:val="19"/>
              </w:rPr>
              <w:t>Growth through owners already in the metro fits a single-office firm.</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2" name="Picture 90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Licence, office and trust accounts in place by December 2026.</w:t>
            </w:r>
          </w:p>
          <w:p>
            <w:pPr>
              <w:pStyle w:val="ListBullet"/>
              <w:spacing w:before="0" w:after="91" w:line="278" w:lineRule="exact"/>
              <w:ind w:left="283" w:hanging="227"/>
              <w:rPr>
                <w:sz w:val="19"/>
                <w:szCs w:val="19"/>
              </w:rPr>
            </w:pPr>
            <w:r>
              <w:rPr>
                <w:b w:val="0"/>
                <w:i w:val="0"/>
                <w:spacing w:val="0"/>
                <w:sz w:val="19"/>
              </w:rPr>
              <w:t>Opening in January 2027 with the first signed owners.</w:t>
            </w:r>
          </w:p>
          <w:p>
            <w:pPr>
              <w:pStyle w:val="ListBullet"/>
              <w:spacing w:before="0" w:after="91" w:line="278" w:lineRule="exact"/>
              <w:ind w:left="283" w:hanging="227"/>
              <w:rPr>
                <w:sz w:val="19"/>
                <w:szCs w:val="19"/>
              </w:rPr>
            </w:pPr>
            <w:r>
              <w:rPr>
                <w:b w:val="0"/>
                <w:i w:val="0"/>
                <w:spacing w:val="0"/>
                <w:sz w:val="19"/>
              </w:rPr>
              <w:t>About 100 doors by mid-2027 and 160 by December 2027.</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F4858"/>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F4858"/>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2F4858"/>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Half of America's single-unit rental homes are still run by the people who own them. Of the 15.71 million single-unit rental properties in the US, owners manage 50.5% themselves and a management company runs 22.3%. That gap is the opportunity for a residential manager: an owner who self-manages today spends a median of five hours a month on it, and is one difficult tenant or one move away from handing the job over.</w:t>
      </w:r>
    </w:p>
    <w:p>
      <w:r>
        <w:rPr>
          <w:b w:val="0"/>
          <w:i w:val="0"/>
        </w:rPr>
        <w:t>Property management as an industry covers firms that run residential and commercial property for its owners. It is large and fragmented: about 340,000 businesses earned $139.9 billion in 2026, after growth of 1.9% in that year. Individual investors own 58.9% of all US rental properties, but only 31.7% of rental units, which is why small residential managers serve a different customer from the firms that run apartment towers and offices.</w:t>
      </w:r>
    </w:p>
    <w:p>
      <w:bookmarkStart w:id="18" w:name="toc_3_2"/>
      <w:pPr>
        <w:pStyle w:val="Heading2"/>
      </w:pPr>
      <w:r>
        <w:t xml:space="preserve">3.2  </w:t>
      </w:r>
      <w:r>
        <w:t>Market Segmentation</w:t>
      </w:r>
      <w:bookmarkEnd w:id="18"/>
    </w:p>
    <w:p>
      <w:pPr>
        <w:pStyle w:val="ListBullet"/>
      </w:pPr>
      <w:r>
        <w:rPr>
          <w:rFonts w:ascii="Roboto Bold" w:hAnsi="Roboto Bold" w:eastAsia="Roboto Bold" w:cs="Roboto Bold"/>
          <w:b w:val="0"/>
          <w:i w:val="0"/>
        </w:rPr>
        <w:t>By property:</w:t>
      </w:r>
      <w:r>
        <w:rPr>
          <w:b w:val="0"/>
          <w:i w:val="0"/>
        </w:rPr>
        <w:t xml:space="preserve"> single-unit homes and townhomes, small buildings of two to four units, and larger multifamily. Keelridge serves the first two, which make up most rental properties nationally.</w:t>
      </w:r>
    </w:p>
    <w:p>
      <w:pPr>
        <w:pStyle w:val="ListBullet"/>
      </w:pPr>
      <w:r>
        <w:rPr>
          <w:rFonts w:ascii="Roboto Bold" w:hAnsi="Roboto Bold" w:eastAsia="Roboto Bold" w:cs="Roboto Bold"/>
          <w:b w:val="0"/>
          <w:i w:val="0"/>
        </w:rPr>
        <w:t>By owner:</w:t>
      </w:r>
      <w:r>
        <w:rPr>
          <w:b w:val="0"/>
          <w:i w:val="0"/>
        </w:rPr>
        <w:t xml:space="preserve"> individual investors with one to ten homes, small LLCs and partnerships, and institutional owners. Institutional investors held 3% or less of single-family homes in the metros GAO studied, so individuals are the market.</w:t>
      </w:r>
    </w:p>
    <w:p>
      <w:pPr>
        <w:pStyle w:val="ListBullet"/>
        <w:spacing w:after="227"/>
      </w:pPr>
      <w:r>
        <w:rPr>
          <w:rFonts w:ascii="Roboto Bold" w:hAnsi="Roboto Bold" w:eastAsia="Roboto Bold" w:cs="Roboto Bold"/>
          <w:b w:val="0"/>
          <w:i w:val="0"/>
        </w:rPr>
        <w:t>By service:</w:t>
      </w:r>
      <w:r>
        <w:rPr>
          <w:b w:val="0"/>
          <w:i w:val="0"/>
        </w:rPr>
        <w:t xml:space="preserve"> full-service management charged as a share of rent, and leasing-only placement charged once per tenant.</w:t>
      </w:r>
    </w:p>
    <w:p>
      <w:bookmarkStart w:id="19" w:name="toc_3_3"/>
      <w:pPr>
        <w:pStyle w:val="Heading2"/>
      </w:pPr>
      <w:r>
        <w:t xml:space="preserve">3.3  </w:t>
      </w:r>
      <w:r>
        <w:t>Market Trends</w:t>
      </w:r>
      <w:bookmarkEnd w:id="19"/>
    </w:p>
    <w:p>
      <w:pPr>
        <w:pStyle w:val="ListBullet"/>
      </w:pPr>
      <w:r>
        <w:rPr>
          <w:rFonts w:ascii="Roboto Bold" w:hAnsi="Roboto Bold" w:eastAsia="Roboto Bold" w:cs="Roboto Bold"/>
          <w:b w:val="0"/>
          <w:i w:val="0"/>
        </w:rPr>
        <w:t>Vacancy is rising.</w:t>
      </w:r>
      <w:r>
        <w:rPr>
          <w:b w:val="0"/>
          <w:i w:val="0"/>
        </w:rPr>
        <w:t xml:space="preserve"> The national rental vacancy rate reached 7.3% in the second quarter of 2026, up from 5.6% four years earlier, so homes take longer to let.</w:t>
      </w:r>
    </w:p>
    <w:p>
      <w:pPr>
        <w:pStyle w:val="ListBullet"/>
      </w:pPr>
      <w:r>
        <w:rPr>
          <w:rFonts w:ascii="Roboto Bold" w:hAnsi="Roboto Bold" w:eastAsia="Roboto Bold" w:cs="Roboto Bold"/>
          <w:b w:val="0"/>
          <w:i w:val="0"/>
        </w:rPr>
        <w:t>Rent growth is slowing.</w:t>
      </w:r>
      <w:r>
        <w:rPr>
          <w:b w:val="0"/>
          <w:i w:val="0"/>
        </w:rPr>
        <w:t xml:space="preserve"> Single-family rents rose 1.8% a year on one index and 3% on another, while 39.8% of listings offered a concession.</w:t>
      </w:r>
    </w:p>
    <w:p>
      <w:pPr>
        <w:pStyle w:val="ListBullet"/>
        <w:spacing w:after="227"/>
      </w:pPr>
      <w:r>
        <w:rPr>
          <w:rFonts w:ascii="Roboto Bold" w:hAnsi="Roboto Bold" w:eastAsia="Roboto Bold" w:cs="Roboto Bold"/>
          <w:b w:val="0"/>
          <w:i w:val="0"/>
        </w:rPr>
        <w:t>Owners expect online tools.</w:t>
      </w:r>
      <w:r>
        <w:rPr>
          <w:b w:val="0"/>
          <w:i w:val="0"/>
        </w:rPr>
        <w:t xml:space="preserve"> Portals, online rent payment and e-signed leases are now standard, and the largest software platform carries 9.6 million units.</w:t>
      </w:r>
    </w:p>
    <w:p>
      <w:bookmarkStart w:id="20" w:name="toc_3_4"/>
      <w:pPr>
        <w:pStyle w:val="Heading2"/>
      </w:pPr>
      <w:r>
        <w:t xml:space="preserve">3.4  </w:t>
      </w:r>
      <w:r>
        <w:t>Local Market Outlook</w:t>
      </w:r>
      <w:bookmarkEnd w:id="20"/>
    </w:p>
    <w:p>
      <w:r>
        <w:rPr>
          <w:b w:val="0"/>
          <w:i w:val="0"/>
        </w:rPr>
        <w:t>The Jacksonville metro, made up of Duval, Clay, St. Johns, Nassau and Baker counties, had 503 residential property manager establishments with employees in 2025: 354 in Duval County, 88 in St. Johns, 40 in Clay and 21 in Nassau. Duval's count rose from 339 a year earlier, and its offices average about six employees each, so the local trade is many small firms rather than a few large ones.</w:t>
      </w:r>
    </w:p>
    <w:p>
      <w:r>
        <w:rPr>
          <w:b w:val="0"/>
          <w:i w:val="0"/>
        </w:rPr>
        <w:t>Demand is broad. The metro's 230,447 renter households are 32.6% of all households, and 78,906 of them rent a house or townhome. Median gross rent is $1,625 a month. Duval County's military economy employs 68,060 people around Naval Air Station Jacksonville and Naval Station Mayport. Metro rental vacancy ran between 8.6% and 13.2% through 2025 and stood at 9.3% in the second quarter of 2026, above the national rate, although the metro samples carry wide margins of error.</w:t>
      </w:r>
    </w:p>
    <w:p>
      <w:r>
        <w:rPr>
          <w:b w:val="0"/>
          <w:i w:val="0"/>
        </w:rPr>
        <w:t>Costs and rules are statewide or close to it. Office space averages $23.56 per square foot a year in Jacksonville, and Florida's minimum wage reached $15.00 an hour on September 30, 2026. Since 2023 the state has set the landlord and tenant rules for every Florida city, so Jacksonville has no tenant ordinance of its own. No local survey of management fees is published.</w:t>
      </w:r>
    </w:p>
    <w:p>
      <w:bookmarkStart w:id="21" w:name="toc_3_5"/>
      <w:pPr>
        <w:pStyle w:val="Heading2"/>
      </w:pPr>
      <w:r>
        <w:t xml:space="preserve">3.5  </w:t>
      </w:r>
      <w:r>
        <w:t>Market Size</w:t>
      </w:r>
      <w:bookmarkEnd w:id="21"/>
    </w:p>
    <w:p>
      <w:r>
        <w:rPr>
          <w:b w:val="0"/>
          <w:i w:val="0"/>
        </w:rPr>
        <w:t>The total addressable market is US property management at $139.9 billion in 2026. The serviceable market is Jacksonville itself: the metro's 106,936 rented homes in one to four unit buildings, at its $1,625 median gross rent and the national 8.49% average management fee, are worth about $177.0 million a year in management fees if every one were professionally managed. The obtainable market for one firm is about $411,000 a year, the average revenue of a US property management business. Keelridge's first-year projection of $262,080 sits below that average.</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3" name="Picture 90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1A2831"/>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US property management, the industry that runs residential and nonresidential property for owners (NAICS 53131), generates $139.9 billion in revenue in 2026 (IBISWorld), after 1.2% compound annual growth since 2021.</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1A2831"/>
                      <w:spacing w:val="0"/>
                      <w:sz w:val="24"/>
                    </w:rPr>
                    <w:t>139.9B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2F4858"/>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The Jacksonville metro's 106,936 rented homes in one to four unit buildings, at the metro's $1,625 median gross rent and the national 8.49% average management fee, represent about $177.0 million a year in management fees if every one were professionally managed.</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2F4858"/>
                      <w:spacing w:val="0"/>
                      <w:sz w:val="24"/>
                    </w:rPr>
                    <w:t>177.0M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CDDBE4"/>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One US property management business averages about $411,000 in annual revenue ($139.9 billion across about 340,000 businesses in 2026), a national average across firms of every size.</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3F6177"/>
                      <w:spacing w:val="0"/>
                      <w:sz w:val="24"/>
                    </w:rPr>
                    <w:t>411.0k</w:t>
                  </w:r>
                </w:p>
              </w:tc>
            </w:tr>
          </w:tbl>
          <w:p>
            <w:pPr>
              <w:spacing w:before="0" w:after="0" w:line="20" w:lineRule="exact"/>
            </w:pPr>
          </w:p>
        </w:tc>
      </w:tr>
    </w:tbl>
    <w:p>
      <w:pPr>
        <w:spacing w:before="0" w:after="0" w:line="20" w:lineRule="exact"/>
      </w:pPr>
    </w:p>
    <w:p>
      <w:bookmarkStart w:id="22" w:name="toc_3_5_1"/>
      <w:pPr>
        <w:pStyle w:val="Heading2"/>
      </w:pPr>
      <w:r>
        <w:t xml:space="preserve">3.5.1  </w:t>
      </w:r>
      <w:r>
        <w:t>PESTEL Analysis</w:t>
      </w:r>
      <w:bookmarkEnd w:id="22"/>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4" name="Picture 90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Political</w:t>
            </w:r>
          </w:p>
          <w:p>
            <w:pPr>
              <w:pStyle w:val="ListBullet"/>
              <w:spacing w:before="0" w:after="91" w:line="278" w:lineRule="exact"/>
              <w:ind w:left="283" w:hanging="227"/>
              <w:rPr>
                <w:sz w:val="19"/>
                <w:szCs w:val="19"/>
              </w:rPr>
            </w:pPr>
            <w:r>
              <w:rPr>
                <w:b w:val="0"/>
                <w:i w:val="0"/>
                <w:spacing w:val="0"/>
                <w:sz w:val="19"/>
              </w:rPr>
              <w:t>Florida's 2023 HB 1417 set one statewide landlord and tenant law, preempting local ordinances.</w:t>
            </w:r>
          </w:p>
          <w:p>
            <w:pPr>
              <w:pStyle w:val="ListBullet"/>
              <w:spacing w:before="0" w:after="91" w:line="278" w:lineRule="exact"/>
              <w:ind w:left="283" w:hanging="227"/>
              <w:rPr>
                <w:sz w:val="19"/>
                <w:szCs w:val="19"/>
              </w:rPr>
            </w:pPr>
            <w:r>
              <w:rPr>
                <w:b w:val="0"/>
                <w:i w:val="0"/>
                <w:spacing w:val="0"/>
                <w:sz w:val="19"/>
              </w:rPr>
              <w:t>No state personal income tax keeps Florida attractive to investors buying rentals.</w:t>
            </w:r>
          </w:p>
          <w:p>
            <w:pPr>
              <w:pStyle w:val="ListBullet"/>
              <w:spacing w:before="0" w:after="91" w:line="278" w:lineRule="exact"/>
              <w:ind w:left="283" w:hanging="227"/>
              <w:rPr>
                <w:sz w:val="19"/>
                <w:szCs w:val="19"/>
              </w:rPr>
            </w:pPr>
            <w:r>
              <w:rPr>
                <w:b w:val="0"/>
                <w:i w:val="0"/>
                <w:spacing w:val="0"/>
                <w:sz w:val="19"/>
              </w:rPr>
              <w:t>Federal policy on mortgage rates and housing supply sets how many households rent.</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5" name="Picture 9015"/>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Economic</w:t>
            </w:r>
          </w:p>
          <w:p>
            <w:pPr>
              <w:pStyle w:val="ListBullet"/>
              <w:spacing w:before="0" w:after="91" w:line="278" w:lineRule="exact"/>
              <w:ind w:left="283" w:hanging="227"/>
              <w:rPr>
                <w:sz w:val="19"/>
                <w:szCs w:val="19"/>
              </w:rPr>
            </w:pPr>
            <w:r>
              <w:rPr>
                <w:b w:val="0"/>
                <w:i w:val="0"/>
                <w:spacing w:val="0"/>
                <w:sz w:val="19"/>
              </w:rPr>
              <w:t>The metro's median gross rent of $1,625 sets the fee earned on each door.</w:t>
            </w:r>
          </w:p>
          <w:p>
            <w:pPr>
              <w:pStyle w:val="ListBullet"/>
              <w:spacing w:before="0" w:after="91" w:line="278" w:lineRule="exact"/>
              <w:ind w:left="283" w:hanging="227"/>
              <w:rPr>
                <w:sz w:val="19"/>
                <w:szCs w:val="19"/>
              </w:rPr>
            </w:pPr>
            <w:r>
              <w:rPr>
                <w:b w:val="0"/>
                <w:i w:val="0"/>
                <w:spacing w:val="0"/>
                <w:sz w:val="19"/>
              </w:rPr>
              <w:t>High mortgage rates keep would-be buyers renting, which supports demand.</w:t>
            </w:r>
          </w:p>
          <w:p>
            <w:pPr>
              <w:pStyle w:val="ListBullet"/>
              <w:spacing w:before="0" w:after="91" w:line="278" w:lineRule="exact"/>
              <w:ind w:left="283" w:hanging="227"/>
              <w:rPr>
                <w:sz w:val="19"/>
                <w:szCs w:val="19"/>
              </w:rPr>
            </w:pPr>
            <w:r>
              <w:rPr>
                <w:b w:val="0"/>
                <w:i w:val="0"/>
                <w:spacing w:val="0"/>
                <w:sz w:val="19"/>
              </w:rPr>
              <w:t>Metro rental vacancy has run above the national 7.3%, lengthening vacant periods.</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6" name="Picture 9016"/>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Social</w:t>
            </w:r>
          </w:p>
          <w:p>
            <w:pPr>
              <w:pStyle w:val="ListBullet"/>
              <w:spacing w:before="0" w:after="91" w:line="278" w:lineRule="exact"/>
              <w:ind w:left="283" w:hanging="227"/>
              <w:rPr>
                <w:sz w:val="19"/>
                <w:szCs w:val="19"/>
              </w:rPr>
            </w:pPr>
            <w:r>
              <w:rPr>
                <w:b w:val="0"/>
                <w:i w:val="0"/>
                <w:spacing w:val="0"/>
                <w:sz w:val="19"/>
              </w:rPr>
              <w:t>32.6% of metro households rent, 230,447 in all.</w:t>
            </w:r>
          </w:p>
          <w:p>
            <w:pPr>
              <w:pStyle w:val="ListBullet"/>
              <w:spacing w:before="0" w:after="91" w:line="278" w:lineRule="exact"/>
              <w:ind w:left="283" w:hanging="227"/>
              <w:rPr>
                <w:sz w:val="19"/>
                <w:szCs w:val="19"/>
              </w:rPr>
            </w:pPr>
            <w:r>
              <w:rPr>
                <w:b w:val="0"/>
                <w:i w:val="0"/>
                <w:spacing w:val="0"/>
                <w:sz w:val="19"/>
              </w:rPr>
              <w:t>Military transfers create a steady supply of owners renting out a home they plan to keep.</w:t>
            </w:r>
          </w:p>
          <w:p>
            <w:pPr>
              <w:pStyle w:val="ListBullet"/>
              <w:spacing w:before="0" w:after="91" w:line="278" w:lineRule="exact"/>
              <w:ind w:left="283" w:hanging="227"/>
              <w:rPr>
                <w:sz w:val="19"/>
                <w:szCs w:val="19"/>
              </w:rPr>
            </w:pPr>
            <w:r>
              <w:rPr>
                <w:b w:val="0"/>
                <w:i w:val="0"/>
                <w:spacing w:val="0"/>
                <w:sz w:val="19"/>
              </w:rPr>
              <w:t>Many owners live out of state and want to see their homes without visiting.</w:t>
            </w:r>
          </w:p>
        </w:tc>
      </w:tr>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7" name="Picture 9017"/>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Technological</w:t>
            </w:r>
          </w:p>
          <w:p>
            <w:pPr>
              <w:pStyle w:val="ListBullet"/>
              <w:spacing w:before="0" w:after="91" w:line="278" w:lineRule="exact"/>
              <w:ind w:left="283" w:hanging="227"/>
              <w:rPr>
                <w:sz w:val="19"/>
                <w:szCs w:val="19"/>
              </w:rPr>
            </w:pPr>
            <w:r>
              <w:rPr>
                <w:b w:val="0"/>
                <w:i w:val="0"/>
                <w:spacing w:val="0"/>
                <w:sz w:val="19"/>
              </w:rPr>
              <w:t>Owner and tenant portals, online rent payment and e-signed leases are now expected.</w:t>
            </w:r>
          </w:p>
          <w:p>
            <w:pPr>
              <w:pStyle w:val="ListBullet"/>
              <w:spacing w:before="0" w:after="91" w:line="278" w:lineRule="exact"/>
              <w:ind w:left="283" w:hanging="227"/>
              <w:rPr>
                <w:sz w:val="19"/>
                <w:szCs w:val="19"/>
              </w:rPr>
            </w:pPr>
            <w:r>
              <w:rPr>
                <w:b w:val="0"/>
                <w:i w:val="0"/>
                <w:spacing w:val="0"/>
                <w:sz w:val="19"/>
              </w:rPr>
              <w:t>Smart lockboxes allow self-guided showings outside office hours.</w:t>
            </w:r>
          </w:p>
          <w:p>
            <w:pPr>
              <w:pStyle w:val="ListBullet"/>
              <w:spacing w:before="0" w:after="91" w:line="278" w:lineRule="exact"/>
              <w:ind w:left="283" w:hanging="227"/>
              <w:rPr>
                <w:sz w:val="19"/>
                <w:szCs w:val="19"/>
              </w:rPr>
            </w:pPr>
            <w:r>
              <w:rPr>
                <w:b w:val="0"/>
                <w:i w:val="0"/>
                <w:spacing w:val="0"/>
                <w:sz w:val="19"/>
              </w:rPr>
              <w:t>75% of managers report more rental application fraud, so identity checks matter.</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8" name="Picture 9018"/>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Environmental</w:t>
            </w:r>
          </w:p>
          <w:p>
            <w:pPr>
              <w:pStyle w:val="ListBullet"/>
              <w:spacing w:before="0" w:after="91" w:line="278" w:lineRule="exact"/>
              <w:ind w:left="283" w:hanging="227"/>
              <w:rPr>
                <w:sz w:val="19"/>
                <w:szCs w:val="19"/>
              </w:rPr>
            </w:pPr>
            <w:r>
              <w:rPr>
                <w:b w:val="0"/>
                <w:i w:val="0"/>
                <w:spacing w:val="0"/>
                <w:sz w:val="19"/>
              </w:rPr>
              <w:t>Hurricane season from June to November brings storm preparation and urgent repairs.</w:t>
            </w:r>
          </w:p>
          <w:p>
            <w:pPr>
              <w:pStyle w:val="ListBullet"/>
              <w:spacing w:before="0" w:after="91" w:line="278" w:lineRule="exact"/>
              <w:ind w:left="283" w:hanging="227"/>
              <w:rPr>
                <w:sz w:val="19"/>
                <w:szCs w:val="19"/>
              </w:rPr>
            </w:pPr>
            <w:r>
              <w:rPr>
                <w:b w:val="0"/>
                <w:i w:val="0"/>
                <w:spacing w:val="0"/>
                <w:sz w:val="19"/>
              </w:rPr>
              <w:t>Heat and humidity make air conditioning failures the most urgent work orders.</w:t>
            </w:r>
          </w:p>
          <w:p>
            <w:pPr>
              <w:pStyle w:val="ListBullet"/>
              <w:spacing w:before="0" w:after="91" w:line="278" w:lineRule="exact"/>
              <w:ind w:left="283" w:hanging="227"/>
              <w:rPr>
                <w:sz w:val="19"/>
                <w:szCs w:val="19"/>
              </w:rPr>
            </w:pPr>
            <w:r>
              <w:rPr>
                <w:b w:val="0"/>
                <w:i w:val="0"/>
                <w:spacing w:val="0"/>
                <w:sz w:val="19"/>
              </w:rPr>
              <w:t>Rising property insurance costs squeeze investors' returns on coastal homes.</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9" name="Picture 9019"/>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Legal</w:t>
            </w:r>
          </w:p>
          <w:p>
            <w:pPr>
              <w:pStyle w:val="ListBullet"/>
              <w:spacing w:before="0" w:after="91" w:line="278" w:lineRule="exact"/>
              <w:ind w:left="283" w:hanging="227"/>
              <w:rPr>
                <w:sz w:val="19"/>
                <w:szCs w:val="19"/>
              </w:rPr>
            </w:pPr>
            <w:r>
              <w:rPr>
                <w:b w:val="0"/>
                <w:i w:val="0"/>
                <w:spacing w:val="0"/>
                <w:sz w:val="19"/>
              </w:rPr>
              <w:t>Managing rentals for others in Florida requires a real estate broker's licence.</w:t>
            </w:r>
          </w:p>
          <w:p>
            <w:pPr>
              <w:pStyle w:val="ListBullet"/>
              <w:spacing w:before="0" w:after="91" w:line="278" w:lineRule="exact"/>
              <w:ind w:left="283" w:hanging="227"/>
              <w:rPr>
                <w:sz w:val="19"/>
                <w:szCs w:val="19"/>
              </w:rPr>
            </w:pPr>
            <w:r>
              <w:rPr>
                <w:b w:val="0"/>
                <w:i w:val="0"/>
                <w:spacing w:val="0"/>
                <w:sz w:val="19"/>
              </w:rPr>
              <w:t>Security deposits must sit in a separate Florida account, with set notice and return deadlines.</w:t>
            </w:r>
          </w:p>
          <w:p>
            <w:pPr>
              <w:pStyle w:val="ListBullet"/>
              <w:spacing w:before="0" w:after="91" w:line="278" w:lineRule="exact"/>
              <w:ind w:left="283" w:hanging="227"/>
              <w:rPr>
                <w:sz w:val="19"/>
                <w:szCs w:val="19"/>
              </w:rPr>
            </w:pPr>
            <w:r>
              <w:rPr>
                <w:b w:val="0"/>
                <w:i w:val="0"/>
                <w:spacing w:val="0"/>
                <w:sz w:val="19"/>
              </w:rPr>
              <w:t>The Fair Housing Act and the Fair Credit Reporting Act govern every screening decision.</w:t>
            </w:r>
          </w:p>
        </w:tc>
      </w:tr>
    </w:tbl>
    <w:p>
      <w:pPr>
        <w:keepLines/>
        <w:spacing w:before="200" w:after="160" w:line="240" w:lineRule="auto"/>
      </w:pPr>
      <w:hyperlink r:id="rId31">
        <w:r>
          <w:drawing>
            <wp:inline xmlns:a="http://schemas.openxmlformats.org/drawingml/2006/main" xmlns:pic="http://schemas.openxmlformats.org/drawingml/2006/picture">
              <wp:extent cx="6530399" cy="528636"/>
              <wp:docPr id="9020" name="Picture 9020"/>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F4858"/>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F4858"/>
              </w:pBdr>
            </w:pPr>
            <w:r>
              <w:rPr>
                <w:spacing w:val="0"/>
                <w:sz w:val="4"/>
                <w:szCs w:val="4"/>
              </w:rPr>
              <w:t xml:space="preserve"/>
            </w:r>
          </w:p>
        </w:tc>
      </w:tr>
    </w:tbl>
    <w:p>
      <w:bookmarkStart w:id="23" w:name="toc_4"/>
      <w:pPr>
        <w:pStyle w:val="Heading1"/>
        <w:spacing w:before="440" w:after="200"/>
      </w:pPr>
      <w:r>
        <w:t>Customer Analysis</w:t>
      </w:r>
      <w:bookmarkEnd w:id="23"/>
    </w:p>
    <w:p>
      <w:pPr>
        <w:spacing w:after="360"/>
        <w:ind w:right="9490"/>
        <w:pBdr>
          <w:bottom w:val="single" w:sz="18" w:space="0" w:color="2F4858"/>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4" w:name="toc_4_1"/>
      <w:pPr>
        <w:pStyle w:val="Heading2"/>
      </w:pPr>
      <w:r>
        <w:t xml:space="preserve">4.1  </w:t>
      </w:r>
      <w:r>
        <w:t>Target Market</w:t>
      </w:r>
      <w:bookmarkEnd w:id="24"/>
    </w:p>
    <w:p>
      <w:r>
        <w:rPr>
          <w:b w:val="0"/>
          <w:i w:val="0"/>
        </w:rPr>
        <w:t>Keelridge's customer is the owner of a rented home in the Jacksonville metro, not the tenant who lives in it. The metro has 106,936 rented homes in buildings of one to four units, and 78,906 of them are houses or townhomes. Nationally, individual investors own 59.6% of single-unit rentals, and most of those owners hold ten or fewer other properties, so the market is made of people with a handful of homes rather than companies with thousands.</w:t>
      </w:r>
    </w:p>
    <w:p>
      <w:r>
        <w:rPr>
          <w:b w:val="0"/>
          <w:i w:val="0"/>
        </w:rPr>
        <w:t>Most of those owners still run their homes themselves. Nationally, owners manage 50.5% of single-unit rentals and a management company runs 22.3%, so Keelridge is not chiefly taking clients from other managers. It is reaching owners at the point where doing the job themselves stops working, which is usually a move, a difficult tenant or a home that has sat empty too long. With metro vacancy above the national rate, that last trigger is more common in Jacksonville than in most markets.</w:t>
      </w:r>
    </w:p>
    <w:p>
      <w:r>
        <w:rPr>
          <w:b w:val="0"/>
          <w:i w:val="0"/>
        </w:rPr>
        <w:t>The owners Keelridge targets share one problem: they cannot easily be at the house. Some live in another state or abroad, some have been posted elsewhere by the Navy, and some never meant to be landlords at all. Each pays a manager for the same thing, which is to stop worrying about the home, but each comes to Keelridge for a different reason and buys a slightly different service. What they share is a home that earns rent at the metro's $1,625 median or above, and an owner who would rather pay 9% of it than give up evenings and weekends to it.</w:t>
      </w:r>
    </w:p>
    <w:p>
      <w:bookmarkStart w:id="25" w:name="toc_4_2"/>
      <w:pPr>
        <w:pStyle w:val="Heading2"/>
      </w:pPr>
      <w:r>
        <w:t xml:space="preserve">4.2  </w:t>
      </w:r>
      <w:r>
        <w:t>Customer Segments</w:t>
      </w:r>
      <w:bookmarkEnd w:id="25"/>
    </w:p>
    <w:p>
      <w:pPr>
        <w:pStyle w:val="ListBullet"/>
      </w:pPr>
      <w:r>
        <w:rPr>
          <w:rFonts w:ascii="Roboto Bold" w:hAnsi="Roboto Bold" w:eastAsia="Roboto Bold" w:cs="Roboto Bold"/>
          <w:b w:val="0"/>
          <w:i w:val="0"/>
        </w:rPr>
        <w:t>Out-of-state and overseas investors.</w:t>
      </w:r>
      <w:r>
        <w:rPr>
          <w:b w:val="0"/>
          <w:i w:val="0"/>
        </w:rPr>
        <w:t xml:space="preserve"> Owners of one to ten Jacksonville homes bought for income who live too far away to manage them. They buy full-service management and value monthly statements, cost-price repairs and photographed inspections above all.</w:t>
      </w:r>
    </w:p>
    <w:p>
      <w:pPr>
        <w:pStyle w:val="ListBullet"/>
      </w:pPr>
      <w:r>
        <w:rPr>
          <w:rFonts w:ascii="Roboto Bold" w:hAnsi="Roboto Bold" w:eastAsia="Roboto Bold" w:cs="Roboto Bold"/>
          <w:b w:val="0"/>
          <w:i w:val="0"/>
        </w:rPr>
        <w:t>Military owners on transfer.</w:t>
      </w:r>
      <w:r>
        <w:rPr>
          <w:b w:val="0"/>
          <w:i w:val="0"/>
        </w:rPr>
        <w:t xml:space="preserve"> Service members and families leaving Naval Air Station Jacksonville or Naval Station Mayport who keep their home as a rental. They buy full-service management with a lease timed to their return and an agreement they can end when they come back.</w:t>
      </w:r>
    </w:p>
    <w:p>
      <w:pPr>
        <w:pStyle w:val="ListBullet"/>
      </w:pPr>
      <w:r>
        <w:rPr>
          <w:rFonts w:ascii="Roboto Bold" w:hAnsi="Roboto Bold" w:eastAsia="Roboto Bold" w:cs="Roboto Bold"/>
          <w:b w:val="0"/>
          <w:i w:val="0"/>
        </w:rPr>
        <w:t>Accidental landlords.</w:t>
      </w:r>
      <w:r>
        <w:rPr>
          <w:b w:val="0"/>
          <w:i w:val="0"/>
        </w:rPr>
        <w:t xml:space="preserve"> Owners renting a home they inherited, could not sell or chose to keep after a move. Many start with leasing-only placement and move to full management after the first tenant.</w:t>
      </w:r>
    </w:p>
    <w:p>
      <w:pPr>
        <w:pStyle w:val="ListBullet"/>
        <w:spacing w:after="227"/>
      </w:pPr>
      <w:r>
        <w:rPr>
          <w:rFonts w:ascii="Roboto Bold" w:hAnsi="Roboto Bold" w:eastAsia="Roboto Bold" w:cs="Roboto Bold"/>
          <w:b w:val="0"/>
          <w:i w:val="0"/>
        </w:rPr>
        <w:t>Local self-managers.</w:t>
      </w:r>
      <w:r>
        <w:rPr>
          <w:b w:val="0"/>
          <w:i w:val="0"/>
        </w:rPr>
        <w:t xml:space="preserve"> Owners who live nearby and run their own homes but want help when one falls vacant. They buy leasing-only placement, and some convert as their portfolios grow.</w:t>
      </w:r>
    </w:p>
    <w:p>
      <w:bookmarkStart w:id="26" w:name="toc_4_3"/>
      <w:pPr>
        <w:pStyle w:val="Heading2"/>
      </w:pPr>
      <w:r>
        <w:t xml:space="preserve">4.3  </w:t>
      </w:r>
      <w:r>
        <w:t>Customer Persona</w:t>
      </w:r>
      <w:bookmarkEnd w:id="2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21" name="Picture 9021"/>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Ray, the Out-of-State Owner</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52</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Atlanta, GA</w:t>
            </w:r>
          </w:p>
          <w:p>
            <w:pPr>
              <w:spacing w:before="0" w:after="0" w:line="288" w:lineRule="auto"/>
              <w:jc w:val="center"/>
            </w:pPr>
            <w:r>
              <w:rPr>
                <w:rFonts w:ascii="Roboto Bold" w:hAnsi="Roboto Bold" w:cs="Roboto Bold" w:eastAsia="Roboto Bold"/>
                <w:b w:val="0"/>
                <w:i w:val="0"/>
                <w:color w:val="0A0A0A"/>
                <w:spacing w:val="0"/>
                <w:sz w:val="19"/>
              </w:rPr>
              <w:t>Homes owned:</w:t>
            </w:r>
            <w:r>
              <w:rPr>
                <w:rFonts w:ascii="Roboto" w:hAnsi="Roboto" w:cs="Roboto"/>
                <w:b w:val="0"/>
                <w:i w:val="0"/>
                <w:color w:val="595959"/>
                <w:spacing w:val="0"/>
                <w:sz w:val="19"/>
              </w:rPr>
              <w:t xml:space="preserve"> 3 in Jacksonville</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$140,000 a year</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Operations manager at a distribution company</w:t>
            </w:r>
          </w:p>
          <w:p>
            <w:pPr>
              <w:spacing w:before="0" w:after="170" w:line="288" w:lineRule="auto"/>
              <w:jc w:val="center"/>
            </w:pPr>
            <w:r>
              <w:rPr>
                <w:rFonts w:ascii="Roboto Bold" w:hAnsi="Roboto Bold" w:cs="Roboto Bold" w:eastAsia="Roboto Bold"/>
                <w:b w:val="0"/>
                <w:i w:val="0"/>
                <w:color w:val="0A0A0A"/>
                <w:spacing w:val="0"/>
                <w:sz w:val="19"/>
              </w:rPr>
              <w:t>Landlord since:</w:t>
            </w:r>
            <w:r>
              <w:rPr>
                <w:rFonts w:ascii="Roboto" w:hAnsi="Roboto" w:cs="Roboto"/>
                <w:b w:val="0"/>
                <w:i w:val="0"/>
                <w:color w:val="595959"/>
                <w:spacing w:val="0"/>
                <w:sz w:val="19"/>
              </w:rPr>
              <w:t xml:space="preserve"> 2016</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“I bought these houses to build something for retirement, not to take calls about a broken air conditioner from 400 miles away.”</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2" name="Picture 90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Bought Jacksonville houses while stationed or working there, then moved away</w:t>
                  </w:r>
                </w:p>
                <w:p>
                  <w:pPr>
                    <w:pStyle w:val="ListBullet"/>
                    <w:spacing w:before="0" w:after="57" w:line="282" w:lineRule="exact"/>
                    <w:ind w:left="283" w:hanging="266"/>
                    <w:rPr>
                      <w:sz w:val="19"/>
                      <w:szCs w:val="19"/>
                    </w:rPr>
                  </w:pPr>
                  <w:r>
                    <w:rPr>
                      <w:rFonts w:ascii="Roboto" w:hAnsi="Roboto" w:cs="Roboto"/>
                      <w:b w:val="0"/>
                      <w:i w:val="0"/>
                      <w:color w:val="595959"/>
                      <w:spacing w:val="0"/>
                      <w:sz w:val="19"/>
                    </w:rPr>
                    <w:t>Checks rent deposits and statements on his phone</w:t>
                  </w:r>
                </w:p>
                <w:p>
                  <w:pPr>
                    <w:pStyle w:val="ListBullet"/>
                    <w:spacing w:before="0" w:after="57" w:line="282" w:lineRule="exact"/>
                    <w:ind w:left="283" w:hanging="266"/>
                    <w:rPr>
                      <w:sz w:val="19"/>
                      <w:szCs w:val="19"/>
                    </w:rPr>
                  </w:pPr>
                  <w:r>
                    <w:rPr>
                      <w:rFonts w:ascii="Roboto" w:hAnsi="Roboto" w:cs="Roboto"/>
                      <w:b w:val="0"/>
                      <w:i w:val="0"/>
                      <w:color w:val="595959"/>
                      <w:spacing w:val="0"/>
                      <w:sz w:val="19"/>
                    </w:rPr>
                    <w:t>Has used two managers before and left both over surprise repair bills</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3" name="Picture 902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Rent paid on time every month with the net deposited by a set date</w:t>
                  </w:r>
                </w:p>
                <w:p>
                  <w:pPr>
                    <w:pStyle w:val="ListBullet"/>
                    <w:spacing w:before="0" w:after="57" w:line="282" w:lineRule="exact"/>
                    <w:ind w:left="283" w:hanging="266"/>
                    <w:rPr>
                      <w:sz w:val="19"/>
                      <w:szCs w:val="19"/>
                    </w:rPr>
                  </w:pPr>
                  <w:r>
                    <w:rPr>
                      <w:rFonts w:ascii="Roboto" w:hAnsi="Roboto" w:cs="Roboto"/>
                      <w:b w:val="0"/>
                      <w:i w:val="0"/>
                      <w:color w:val="595959"/>
                      <w:spacing w:val="0"/>
                      <w:sz w:val="19"/>
                    </w:rPr>
                    <w:t>Repairs handled quickly without overpaying for them</w:t>
                  </w:r>
                </w:p>
                <w:p>
                  <w:pPr>
                    <w:pStyle w:val="ListBullet"/>
                    <w:spacing w:before="0" w:after="57" w:line="282" w:lineRule="exact"/>
                    <w:ind w:left="283" w:hanging="266"/>
                    <w:rPr>
                      <w:sz w:val="19"/>
                      <w:szCs w:val="19"/>
                    </w:rPr>
                  </w:pPr>
                  <w:r>
                    <w:rPr>
                      <w:rFonts w:ascii="Roboto" w:hAnsi="Roboto" w:cs="Roboto"/>
                      <w:b w:val="0"/>
                      <w:i w:val="0"/>
                      <w:color w:val="595959"/>
                      <w:spacing w:val="0"/>
                      <w:sz w:val="19"/>
                    </w:rPr>
                    <w:t>Seeing the condition of each home without travelling to it</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4" name="Picture 9024"/>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Cannot judge vendors or prices from another state</w:t>
                  </w:r>
                </w:p>
                <w:p>
                  <w:pPr>
                    <w:pStyle w:val="ListBullet"/>
                    <w:spacing w:before="0" w:after="57" w:line="282" w:lineRule="exact"/>
                    <w:ind w:left="283" w:hanging="266"/>
                    <w:rPr>
                      <w:sz w:val="19"/>
                      <w:szCs w:val="19"/>
                    </w:rPr>
                  </w:pPr>
                  <w:r>
                    <w:rPr>
                      <w:rFonts w:ascii="Roboto" w:hAnsi="Roboto" w:cs="Roboto"/>
                      <w:b w:val="0"/>
                      <w:i w:val="0"/>
                      <w:color w:val="595959"/>
                      <w:spacing w:val="0"/>
                      <w:sz w:val="19"/>
                    </w:rPr>
                    <w:t>Vacancies that drag on while the mortgage still has to be paid</w:t>
                  </w:r>
                </w:p>
                <w:p>
                  <w:pPr>
                    <w:pStyle w:val="ListBullet"/>
                    <w:spacing w:before="0" w:after="57" w:line="282" w:lineRule="exact"/>
                    <w:ind w:left="283" w:hanging="266"/>
                    <w:rPr>
                      <w:sz w:val="19"/>
                      <w:szCs w:val="19"/>
                    </w:rPr>
                  </w:pPr>
                  <w:r>
                    <w:rPr>
                      <w:rFonts w:ascii="Roboto" w:hAnsi="Roboto" w:cs="Roboto"/>
                      <w:b w:val="0"/>
                      <w:i w:val="0"/>
                      <w:color w:val="595959"/>
                      <w:spacing w:val="0"/>
                      <w:sz w:val="19"/>
                    </w:rPr>
                    <w:t>Keeping up with Florida deposit and notice rules</w:t>
                  </w:r>
                </w:p>
              </w:tc>
            </w:tr>
          </w:tbl>
          <w:p>
            <w:pPr>
              <w:spacing w:before="0" w:after="0" w:line="20" w:lineRule="exact"/>
            </w:pPr>
          </w:p>
        </w:tc>
      </w:tr>
    </w:tbl>
    <w:p>
      <w:pPr>
        <w:spacing w:before="0" w:after="0" w:line="20" w:lineRule="exact"/>
      </w:pPr>
    </w:p>
    <w:p>
      <w:bookmarkStart w:id="27" w:name="toc_4_4"/>
      <w:pPr>
        <w:pStyle w:val="Heading2"/>
      </w:pPr>
      <w:r>
        <w:t xml:space="preserve">4.4  </w:t>
      </w:r>
      <w:r>
        <w:t>Customer Purchase Journey</w:t>
      </w:r>
      <w:bookmarkEnd w:id="27"/>
    </w:p>
    <w:p>
      <w:r>
        <w:rPr>
          <w:b w:val="0"/>
          <w:i w:val="0"/>
        </w:rPr>
        <w:t>Most owners come to Keelridge at a moment of change: orders to a new base, a move for work, a tenant giving notice, or a previous manager who has let them down. The search starts with a referral from a real estate agent or relocation contact, or with an online search for a Jacksonville manager, and the owner usually compares two or three firms.</w:t>
      </w:r>
    </w:p>
    <w:p>
      <w:r>
        <w:rPr>
          <w:b w:val="0"/>
          <w:i w:val="0"/>
        </w:rPr>
        <w:t>The first step is a free rental price analysis for the home, followed by a call with Marcus Whitfield, who explains the fees, the trust account and how repairs are billed. An owner who decides signs the management agreement electronically, sends keys and any existing lease and deposit details, and has the home onboarded within a week. The first monthly statement, with photographs from the move-in or onboarding inspection, is the point at which most owners decide whether they will stay, and the point Keelridge plans its service around.</w:t>
      </w:r>
    </w:p>
    <w:p>
      <w:r>
        <w:rPr>
          <w:b w:val="0"/>
          <w:i w:val="0"/>
        </w:rPr>
        <w:t>After that, the relationship runs on routine: a statement by the 10th, a call before any large repair, a renewal offer well before a lease ends and a yearly review of the home's rent and condition. Owners who are happy with that routine are the ones who hand over a second home and refer the next owner, which is how the book grows past its first year.</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F4858"/>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F4858"/>
              </w:pBdr>
            </w:pPr>
            <w:r>
              <w:rPr>
                <w:spacing w:val="0"/>
                <w:sz w:val="4"/>
                <w:szCs w:val="4"/>
              </w:rPr>
              <w:t xml:space="preserve"/>
            </w:r>
          </w:p>
        </w:tc>
      </w:tr>
    </w:tbl>
    <w:p>
      <w:bookmarkStart w:id="28" w:name="toc_5"/>
      <w:pPr>
        <w:pStyle w:val="Heading1"/>
        <w:spacing w:before="440" w:after="200"/>
      </w:pPr>
      <w:r>
        <w:t>Competitive Analysis</w:t>
      </w:r>
      <w:bookmarkEnd w:id="28"/>
    </w:p>
    <w:p>
      <w:pPr>
        <w:spacing w:after="360"/>
        <w:ind w:right="9490"/>
        <w:pBdr>
          <w:bottom w:val="single" w:sz="18" w:space="0" w:color="2F4858"/>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9" w:name="toc_5_1"/>
      <w:pPr>
        <w:pStyle w:val="Heading2"/>
      </w:pPr>
      <w:r>
        <w:t xml:space="preserve">5.1  </w:t>
      </w:r>
      <w:r>
        <w:t>Competitors</w:t>
      </w:r>
      <w:bookmarkEnd w:id="29"/>
    </w:p>
    <w:p>
      <w:r>
        <w:rPr>
          <w:b w:val="0"/>
          <w:i w:val="0"/>
        </w:rPr>
        <w:t>Keelridge competes with four kinds of rival for the same owners. The first is the owner's own decision to self-manage, which is the largest by far: owners run 50.5% of US single-unit rentals themselves, and spend a median of five hours a month doing it. Every self-managing owner in Jacksonville is a potential client and, until they hand over a home, a competitor.</w:t>
      </w:r>
    </w:p>
    <w:p>
      <w:r>
        <w:rPr>
          <w:b w:val="0"/>
          <w:i w:val="0"/>
        </w:rPr>
        <w:t>The second is the established local independent. The Jacksonville metro had 503 residential property manager establishments with employees in 2025, and Duval County's average about six employees each, so most owners are choosing between small firms much like Keelridge. Their revenues and fees are not published, and none is named here.</w:t>
      </w:r>
    </w:p>
    <w:p>
      <w:r>
        <w:rPr>
          <w:b w:val="0"/>
          <w:i w:val="0"/>
        </w:rPr>
        <w:t>The third is the franchised office of a national system. Real Property Management, a Neighborly brand, ranked No. 73 in Entrepreneur's 2026 Franchise 500 and first in its category, and PMI reports over 400 independently owned US offices. A franchise brings a recognised name and standard processes, along with fees and a manual that leave the local owner less room to change how repairs and statements are handled.</w:t>
      </w:r>
    </w:p>
    <w:p>
      <w:r>
        <w:rPr>
          <w:b w:val="0"/>
          <w:i w:val="0"/>
        </w:rPr>
        <w:t>The fourth is the real estate agent who manages a few rentals on the side, usually for past buyers. It is a common arrangement in a market with this many agents, and it tends to work until something goes wrong at a weekend or a deposit is disputed.</w:t>
      </w:r>
    </w:p>
    <w:p>
      <w:bookmarkStart w:id="30" w:name="toc_5_2"/>
      <w:pPr>
        <w:pStyle w:val="Heading2"/>
      </w:pPr>
      <w:r>
        <w:t xml:space="preserve">5.2  </w:t>
      </w:r>
      <w:r>
        <w:t>Comparison</w:t>
      </w:r>
      <w:bookmarkEnd w:id="30"/>
    </w:p>
    <w:p>
      <w:r>
        <w:rPr>
          <w:b w:val="0"/>
          <w:i w:val="0"/>
        </w:rPr>
        <w:t>Owners compare managers on a short list of things: who answers when something breaks, what repairs really cost, how quickly a vacant home is let, and whether they can see what is happening. The table below sets Keelridge against the three outside rivals on those points. Its distinguishing features are the ones that are hardest to bolt on to an existing firm: repairs billed at cost, because a markup is part of many managers' revenue, and a yearly photographed inspection, because it takes time a busy office would rather spend leasing.</w:t>
      </w:r>
    </w:p>
    <w:p>
      <w:r>
        <w:rPr>
          <w:b w:val="0"/>
          <w:i w:val="0"/>
        </w:rPr>
        <w:t>The table also shows where Keelridge is no different. A franchise office offers a portal and written screening too, and a careful agent can have a broker's oversight. Keelridge does not claim to be the only firm doing these things well; it claims to do all of them at once, for owners who live elsewhere.</w:t>
      </w: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Medium" w:hAnsi="Roboto Medium" w:cs="Roboto Medium"/>
                <w:b w:val="0"/>
                <w:i w:val="0"/>
                <w:color w:val="0A0A0A"/>
                <w:spacing w:val="0"/>
                <w:sz w:val="19"/>
              </w:rPr>
              <w:t>Feature</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Keelridge Property Management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National franchise offices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Solo agents managing on the side</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Self-managing owners</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Florida broker on every file</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Repairs billed at vendor cost, no markup</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Online owner portal with monthly statements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Written tenant screening criteria</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Move-in and move-out photo inspections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Mid-lease home inspection each year</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bl>
    <w:p>
      <w:pPr>
        <w:spacing w:before="0" w:after="0" w:line="23" w:lineRule="exact"/>
      </w:pPr>
    </w:p>
    <w:p>
      <w:bookmarkStart w:id="31" w:name="toc_5_3"/>
      <w:pPr>
        <w:pStyle w:val="Heading2"/>
      </w:pPr>
      <w:r>
        <w:t xml:space="preserve">5.3  </w:t>
      </w:r>
      <w:r>
        <w:t>Competitive Edge</w:t>
      </w:r>
      <w:bookmarkEnd w:id="31"/>
    </w:p>
    <w:p>
      <w:r>
        <w:rPr>
          <w:b w:val="0"/>
          <w:i w:val="0"/>
        </w:rPr>
        <w:t>The edge comes from what Keelridge gives up. By passing vendor invoices through at cost, it forgoes the repair markup many managers rely on, and earns instead from management, leasing, renewal and inspection fees that an owner can see in the agreement before signing. That makes its fees easy to compare, and it removes the single biggest reason owners say they leave a manager.</w:t>
      </w:r>
    </w:p>
    <w:p>
      <w:r>
        <w:rPr>
          <w:b w:val="0"/>
          <w:i w:val="0"/>
        </w:rPr>
        <w:t>The second source of edge is focus. Built around owners who cannot visit, Keelridge's processes put photographs, invoices and statements online by default, which costs a local self-manager nothing to ignore but matters a great deal to an investor in Atlanta or a family stationed in Virginia. Military owners in particular are a segment national franchises serve generally and Keelridge serves deliberately, with agreements and lease dates written around orders.</w:t>
      </w:r>
    </w:p>
    <w:p>
      <w:r>
        <w:rPr>
          <w:b w:val="0"/>
          <w:i w:val="0"/>
        </w:rPr>
        <w:t>The third is accountability. With a licensed broker running the book and three people in the firm, an owner always knows whom to call. That advantage narrows as the firm grows, which is why the plan caps each manager at about 50 doors and adds a portfolio manager in 2028 rather than stretching the team.</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5" name="Picture 9025"/>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No markup on repairs</w:t>
                  </w:r>
                </w:p>
                <w:p>
                  <w:pPr>
                    <w:spacing w:before="0" w:after="0" w:line="284" w:lineRule="exact"/>
                  </w:pPr>
                  <w:r>
                    <w:rPr>
                      <w:rFonts w:ascii="Roboto" w:hAnsi="Roboto" w:cs="Roboto"/>
                      <w:b w:val="0"/>
                      <w:i w:val="0"/>
                      <w:color w:val="0A0A0A"/>
                      <w:spacing w:val="0"/>
                      <w:sz w:val="19"/>
                    </w:rPr>
                    <w:t>Vendor invoices pass to the owner at cost, with the invoice attached to the monthly statement, so an owner never wonders what a repair really cost.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6" name="Picture 9026"/>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Built for owners who live elsewhere</w:t>
                  </w:r>
                </w:p>
                <w:p>
                  <w:pPr>
                    <w:spacing w:before="0" w:after="0" w:line="284" w:lineRule="exact"/>
                  </w:pPr>
                  <w:r>
                    <w:rPr>
                      <w:rFonts w:ascii="Roboto" w:hAnsi="Roboto" w:cs="Roboto"/>
                      <w:b w:val="0"/>
                      <w:i w:val="0"/>
                      <w:color w:val="0A0A0A"/>
                      <w:spacing w:val="0"/>
                      <w:sz w:val="19"/>
                    </w:rPr>
                    <w:t>Every move-in, move-out and mid-lease inspection is photographed and posted to the owner portal, so an investor in another state sees the home without flying in.</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7" name="Picture 9027"/>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broker who answers the phone</w:t>
                  </w:r>
                </w:p>
                <w:p>
                  <w:pPr>
                    <w:spacing w:before="0" w:after="0" w:line="284" w:lineRule="exact"/>
                  </w:pPr>
                  <w:r>
                    <w:rPr>
                      <w:rFonts w:ascii="Roboto" w:hAnsi="Roboto" w:cs="Roboto"/>
                      <w:b w:val="0"/>
                      <w:i w:val="0"/>
                      <w:color w:val="0A0A0A"/>
                      <w:spacing w:val="0"/>
                      <w:sz w:val="19"/>
                    </w:rPr>
                    <w:t>The founding broker manages the book directly, with each owner assigned to one named person rather than a call queue.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8" name="Picture 9028"/>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Military moves understood</w:t>
                  </w:r>
                </w:p>
                <w:p>
                  <w:pPr>
                    <w:spacing w:before="0" w:after="0" w:line="284" w:lineRule="exact"/>
                  </w:pPr>
                  <w:r>
                    <w:rPr>
                      <w:rFonts w:ascii="Roboto" w:hAnsi="Roboto" w:cs="Roboto"/>
                      <w:b w:val="0"/>
                      <w:i w:val="0"/>
                      <w:color w:val="0A0A0A"/>
                      <w:spacing w:val="0"/>
                      <w:sz w:val="19"/>
                    </w:rPr>
                    <w:t>Management agreements carry a written exit for a returning service member, and leases are timed so a home is free when orders bring its owner back.</w:t>
                  </w:r>
                </w:p>
              </w:tc>
            </w:tr>
          </w:tbl>
          <w:p>
            <w:pPr>
              <w:spacing w:before="0" w:after="0" w:line="20" w:lineRule="exact"/>
            </w:pPr>
          </w:p>
        </w:tc>
      </w:tr>
      <w:tr>
        <w:trPr>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9" name="Picture 9029"/>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Small vendor bench, held to response times</w:t>
                  </w:r>
                </w:p>
                <w:p>
                  <w:pPr>
                    <w:spacing w:before="0" w:after="0" w:line="284" w:lineRule="exact"/>
                  </w:pPr>
                  <w:r>
                    <w:rPr>
                      <w:rFonts w:ascii="Roboto" w:hAnsi="Roboto" w:cs="Roboto"/>
                      <w:b w:val="0"/>
                      <w:i w:val="0"/>
                      <w:color w:val="0A0A0A"/>
                      <w:spacing w:val="0"/>
                      <w:sz w:val="19"/>
                    </w:rPr>
                    <w:t>A short list of licensed and insured Jacksonville trades, each held to a 24 hour response on urgent work orders and a 72 hour response on routine ones.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Pr>
          <w:p/>
        </w:tc>
      </w:tr>
    </w:tbl>
    <w:p>
      <w:pPr>
        <w:spacing w:before="0" w:after="0" w:line="80" w:lineRule="exact"/>
      </w:pPr>
    </w:p>
    <w:p>
      <w:bookmarkStart w:id="32" w:name="toc_5_4"/>
      <w:pPr>
        <w:pStyle w:val="Heading2"/>
      </w:pPr>
      <w:r>
        <w:t xml:space="preserve">5.4  </w:t>
      </w:r>
      <w:r>
        <w:t>SWOT Analysis</w:t>
      </w:r>
      <w:bookmarkEnd w:id="32"/>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licensed Florida broker manages the book directly, so owners deal with the decision maker.</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Repairs pass to owners at vendor cost, removing the markup owners distrust most.</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Photo inspections posted online suit Jacksonville owners who live out of state.</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Fees come out of collected rent, so revenue arrives in the first days of each month.</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firm has no reviews or track record to show owners comparing managers.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With three people, the loss of the broker would stall leasing and signing.</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The book starts at about 48 doors, so fixed costs weigh heavily in the first months.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No in-house maintenance crew, so response times depend on outside vendors.</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Half of US single-unit rentals are still run by their owners, a large pool of future clients.</w:t>
            </w:r>
          </w:p>
          <w:p>
            <w:pPr>
              <w:pStyle w:val="ListBullet"/>
              <w:spacing w:before="62" w:after="0" w:line="290" w:lineRule="exact"/>
              <w:ind w:left="283" w:hanging="266"/>
              <w:rPr>
                <w:color w:val="FFFFFF"/>
              </w:rPr>
            </w:pPr>
            <w:r>
              <w:rPr>
                <w:rFonts w:ascii="Roboto" w:hAnsi="Roboto" w:cs="Roboto"/>
                <w:b w:val="0"/>
                <w:i w:val="0"/>
                <w:color w:val="FFFFFF"/>
                <w:spacing w:val="0"/>
                <w:sz w:val="20"/>
              </w:rPr>
              <w:t>Service members leaving NAS Jacksonville and Mayport keep homes as rentals every year.</w:t>
            </w:r>
          </w:p>
          <w:p>
            <w:pPr>
              <w:pStyle w:val="ListBullet"/>
              <w:spacing w:before="62" w:after="0" w:line="290" w:lineRule="exact"/>
              <w:ind w:left="283" w:hanging="266"/>
              <w:rPr>
                <w:color w:val="FFFFFF"/>
              </w:rPr>
            </w:pPr>
            <w:r>
              <w:rPr>
                <w:rFonts w:ascii="Roboto" w:hAnsi="Roboto" w:cs="Roboto"/>
                <w:b w:val="0"/>
                <w:i w:val="0"/>
                <w:color w:val="FFFFFF"/>
                <w:spacing w:val="0"/>
                <w:sz w:val="20"/>
              </w:rPr>
              <w:t>Rising vacancy pushes self-managing owners to seek help leasing homes faster.</w:t>
            </w:r>
          </w:p>
          <w:p>
            <w:pPr>
              <w:pStyle w:val="ListBullet"/>
              <w:spacing w:before="62" w:after="0" w:line="290" w:lineRule="exact"/>
              <w:ind w:left="283" w:hanging="266"/>
              <w:rPr>
                <w:color w:val="FFFFFF"/>
              </w:rPr>
            </w:pPr>
            <w:r>
              <w:rPr>
                <w:rFonts w:ascii="Roboto" w:hAnsi="Roboto" w:cs="Roboto"/>
                <w:b w:val="0"/>
                <w:i w:val="0"/>
                <w:color w:val="FFFFFF"/>
                <w:spacing w:val="0"/>
                <w:sz w:val="20"/>
              </w:rPr>
              <w:t>Leasing-only clients can be converted to full management after their first tenant.</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Metro rental vacancy above the national rate lengthens vacancies and delays leasing fees.</w:t>
            </w:r>
          </w:p>
          <w:p>
            <w:pPr>
              <w:pStyle w:val="ListBullet"/>
              <w:spacing w:before="62" w:after="0" w:line="290" w:lineRule="exact"/>
              <w:ind w:left="283" w:hanging="266"/>
              <w:rPr>
                <w:color w:val="FFFFFF"/>
              </w:rPr>
            </w:pPr>
            <w:r>
              <w:rPr>
                <w:rFonts w:ascii="Roboto" w:hAnsi="Roboto" w:cs="Roboto"/>
                <w:b w:val="0"/>
                <w:i w:val="0"/>
                <w:color w:val="FFFFFF"/>
                <w:spacing w:val="0"/>
                <w:sz w:val="20"/>
              </w:rPr>
              <w:t>Over 500 local residential management offices compete for the same owners.</w:t>
            </w:r>
          </w:p>
          <w:p>
            <w:pPr>
              <w:pStyle w:val="ListBullet"/>
              <w:spacing w:before="62" w:after="0" w:line="290" w:lineRule="exact"/>
              <w:ind w:left="283" w:hanging="266"/>
              <w:rPr>
                <w:color w:val="FFFFFF"/>
              </w:rPr>
            </w:pPr>
            <w:r>
              <w:rPr>
                <w:rFonts w:ascii="Roboto" w:hAnsi="Roboto" w:cs="Roboto"/>
                <w:b w:val="0"/>
                <w:i w:val="0"/>
                <w:color w:val="FFFFFF"/>
                <w:spacing w:val="0"/>
                <w:sz w:val="20"/>
              </w:rPr>
              <w:t>Florida property insurance costs push some small investors to sell their rentals.</w:t>
            </w:r>
          </w:p>
          <w:p>
            <w:pPr>
              <w:pStyle w:val="ListBullet"/>
              <w:spacing w:before="62" w:after="0" w:line="290" w:lineRule="exact"/>
              <w:ind w:left="283" w:hanging="266"/>
              <w:rPr>
                <w:color w:val="FFFFFF"/>
              </w:rPr>
            </w:pPr>
            <w:r>
              <w:rPr>
                <w:rFonts w:ascii="Roboto" w:hAnsi="Roboto" w:cs="Roboto"/>
                <w:b w:val="0"/>
                <w:i w:val="0"/>
                <w:color w:val="FFFFFF"/>
                <w:spacing w:val="0"/>
                <w:sz w:val="20"/>
              </w:rPr>
              <w:t>A hurricane season can bring a surge of urgent repairs and owner claims at once.</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30" name="Picture 9030"/>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Keelridge should win owners on transparency the incumbents do not offer: cost-price repairs and photographed inspections. It should grow first among out-of-state and military owners, where trust is scarcest, while vacancy keeps self-managers looking for help.</w:t>
            </w:r>
          </w:p>
        </w:tc>
      </w:tr>
    </w:tbl>
    <w:p>
      <w:pPr>
        <w:keepLines/>
        <w:spacing w:before="200" w:after="160" w:line="240" w:lineRule="auto"/>
      </w:pPr>
      <w:hyperlink r:id="rId43">
        <w:r>
          <w:drawing>
            <wp:inline xmlns:a="http://schemas.openxmlformats.org/drawingml/2006/main" xmlns:pic="http://schemas.openxmlformats.org/drawingml/2006/picture">
              <wp:extent cx="6530399" cy="528636"/>
              <wp:docPr id="9031" name="Picture 9031"/>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F4858"/>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F4858"/>
              </w:pBdr>
            </w:pPr>
            <w:r>
              <w:rPr>
                <w:spacing w:val="0"/>
                <w:sz w:val="4"/>
                <w:szCs w:val="4"/>
              </w:rPr>
              <w:t xml:space="preserve"/>
            </w:r>
          </w:p>
        </w:tc>
      </w:tr>
    </w:tbl>
    <w:p>
      <w:bookmarkStart w:id="33" w:name="toc_6"/>
      <w:pPr>
        <w:pStyle w:val="Heading1"/>
        <w:spacing w:before="440" w:after="200"/>
      </w:pPr>
      <w:r>
        <w:t>Services Offered</w:t>
      </w:r>
      <w:bookmarkEnd w:id="33"/>
    </w:p>
    <w:p>
      <w:pPr>
        <w:spacing w:after="360"/>
        <w:ind w:right="9490"/>
        <w:pBdr>
          <w:bottom w:val="single" w:sz="18" w:space="0" w:color="2F4858"/>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Leasing &amp; Tenant Screening</w:t>
      </w:r>
      <w:r>
        <w:br w:type="page"/>
      </w:r>
    </w:p>
    <w:p>
      <w:bookmarkStart w:id="34" w:name="toc_6_1"/>
      <w:pPr>
        <w:pStyle w:val="Heading2"/>
      </w:pPr>
      <w:r>
        <w:t xml:space="preserve">6.1  </w:t>
      </w:r>
      <w:r>
        <w:t>Our Offering</w:t>
      </w:r>
      <w:bookmarkEnd w:id="34"/>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32" name="Picture 9032"/>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4"/>
                    <a:stretch>
                      <a:fillRect/>
                    </a:stretch>
                  </pic:blipFill>
                  <pic:spPr>
                    <a:xfrm>
                      <a:off x="0" y="0"/>
                      <a:ext cx="2873375" cy="2155032"/>
                    </a:xfrm>
                    <a:prstGeom prst="rect"/>
                  </pic:spPr>
                </pic:pic>
              </a:graphicData>
            </a:graphic>
          </wp:anchor>
        </w:drawing>
      </w:r>
      <w:r>
        <w:rPr>
          <w:b w:val="0"/>
          <w:i w:val="0"/>
        </w:rPr>
        <w:t>Keelridge sells one thing in two forms: looking after a rental home for its owner. Full-service management takes the whole job, from the first listing to the final move-out, and is charged as 9% of the rent actually collected each month, so the firm earns nothing in a month when the home earns nothing. Leasing-only placement takes just the hardest part, finding and signing a good tenant, for a one-time fee of 75% of one month's rent.</w:t>
      </w:r>
    </w:p>
    <w:p>
      <w:r>
        <w:rPr>
          <w:b w:val="0"/>
          <w:i w:val="0"/>
        </w:rPr>
        <w:t>Both are sold for single-family homes, townhomes and buildings of up to four units anywhere in the Jacksonville metro, and both use the same listing, screening and lease process.</w:t>
      </w:r>
    </w:p>
    <w:p>
      <w:pPr>
        <w:spacing w:before="0" w:after="0" w:lineRule="exact" w:line="20"/>
      </w:pPr>
      <w:r>
        <w:rPr>
          <w:spacing w:val="0"/>
          <w:sz w:val="2"/>
        </w:rPr>
        <w:br w:type="textWrapping" w:clear="all"/>
      </w:r>
    </w:p>
    <w:p>
      <w:bookmarkStart w:id="35" w:name="toc_6_2"/>
      <w:pPr>
        <w:pStyle w:val="Heading2"/>
      </w:pPr>
      <w:r>
        <w:t xml:space="preserve">6.2  </w:t>
      </w:r>
      <w:r>
        <w:t>Signature Items</w:t>
      </w:r>
      <w:bookmarkEnd w:id="35"/>
    </w:p>
    <w:p>
      <w:r>
        <w:rPr>
          <w:b w:val="0"/>
          <w:i w:val="0"/>
        </w:rPr>
        <w:t>Full-service management is the core of the business and most of its revenue. Rent is collected online into a separate trust account, repairs are dispatched to vetted vendors and billed at cost, and the owner receives a statement and their net rent by the 10th of every month. A leasing fee of 75% of one month's rent applies when a new tenant moves in, and $250 when a tenant renews.</w:t>
      </w:r>
    </w:p>
    <w:p>
      <w:r>
        <w:rPr>
          <w:b w:val="0"/>
          <w:i w:val="0"/>
        </w:rPr>
        <w:t>Leasing-only placement serves owners who want to run the home themselves once it is let. It ends when the lease is signed, the deposit is handed over and the move-in inspection is delivered, and an owner who moves the home to full management within 90 days has the first month's management fee waived.</w:t>
      </w:r>
    </w:p>
    <w:p>
      <w:bookmarkStart w:id="36" w:name="toc_6_3"/>
      <w:pPr>
        <w:pStyle w:val="Heading2"/>
      </w:pPr>
      <w:r>
        <w:t xml:space="preserve">6.3  </w:t>
      </w:r>
      <w:r>
        <w:t>Additional Services</w:t>
      </w:r>
      <w:bookmarkEnd w:id="36"/>
    </w:p>
    <w:p>
      <w:pPr>
        <w:pStyle w:val="ListBullet"/>
      </w:pPr>
      <w:r>
        <w:rPr>
          <w:b w:val="0"/>
          <w:i w:val="0"/>
        </w:rPr>
        <w:t>Full-Service Plus at 11% of collected rent, which halves the leasing fee, drops the renewal fee and adds a second photographed inspection each year.</w:t>
      </w:r>
    </w:p>
    <w:p>
      <w:pPr>
        <w:pStyle w:val="ListBullet"/>
      </w:pPr>
      <w:r>
        <w:rPr>
          <w:b w:val="0"/>
          <w:i w:val="0"/>
        </w:rPr>
        <w:t>A yearly mid-lease inspection for every home under full management, with dated photographs posted to the owner portal.</w:t>
      </w:r>
    </w:p>
    <w:p>
      <w:pPr>
        <w:pStyle w:val="ListBullet"/>
      </w:pPr>
      <w:r>
        <w:rPr>
          <w:b w:val="0"/>
          <w:i w:val="0"/>
        </w:rPr>
        <w:t>Eviction coordination with the firm's attorney when a tenancy cannot be saved, included in Full-Service Plus.</w:t>
      </w:r>
    </w:p>
    <w:p>
      <w:pPr>
        <w:pStyle w:val="ListBullet"/>
        <w:spacing w:after="227"/>
      </w:pPr>
      <w:r>
        <w:rPr>
          <w:b w:val="0"/>
          <w:i w:val="0"/>
        </w:rPr>
        <w:t>Year-end statements and tax forms for every owner, prepared from the trust account records.</w:t>
      </w:r>
    </w:p>
    <w:p>
      <w:bookmarkStart w:id="37" w:name="toc_6_4"/>
      <w:pPr>
        <w:pStyle w:val="Heading2"/>
      </w:pPr>
      <w:r>
        <w:t xml:space="preserve">6.4  </w:t>
      </w:r>
      <w:r>
        <w:t>What Sets Us Apart</w:t>
      </w:r>
      <w:bookmarkEnd w:id="37"/>
    </w:p>
    <w:p>
      <w:r>
        <w:rPr>
          <w:b w:val="0"/>
          <w:i w:val="0"/>
        </w:rPr>
        <w:t>The terms are written for the owner rather than the firm. There is no fee in a month without rent, no markup on any repair, and no termination fee after the first year: an owner can end the agreement with 30 days' notice. Military owners can end it without penalty when they return to Jacksonville on orders. Every fee Keelridge charges is in the agreement before it is signed, and the gross margin of 86.0% comes from charging for management, not from the owner's repairs.</w:t>
      </w:r>
    </w:p>
    <w:p>
      <w:bookmarkStart w:id="38" w:name="toc_6_5"/>
      <w:pPr>
        <w:pStyle w:val="Heading2"/>
      </w:pPr>
      <w:r>
        <w:t xml:space="preserve">6.5  </w:t>
      </w:r>
      <w:r>
        <w:t>Leasing &amp; Tenant Screening</w:t>
      </w:r>
      <w:bookmarkEnd w:id="38"/>
    </w:p>
    <w:p>
      <w:r>
        <w:rPr>
          <w:b w:val="0"/>
          <w:i w:val="0"/>
        </w:rPr>
        <w:t>Leasing is where a manager earns or loses an owner's trust, because a vacant month costs the owner a full rent payment. Keelridge prices each home against comparable Jacksonville listings, photographs it professionally and syndicates the listing to the major rental sites within two days of the home becoming available. Showings run through smart lockboxes for verified applicants, with an identity check before the code is released, since 75% of managers report rising application fraud.</w:t>
      </w:r>
    </w:p>
    <w:p>
      <w:r>
        <w:rPr>
          <w:b w:val="0"/>
          <w:i w:val="0"/>
        </w:rPr>
        <w:t>Every applicant is screened against the same written criteria, published with the listing: verified income of three times the rent, rental history and a credit and background report. Decisions are made under the Fair Housing Act, which bars discrimination on seven protected bases, and the Fair Credit Reporting Act, which requires an adverse action notice whenever a report contributes to a denial or a higher deposit.</w:t>
      </w:r>
    </w:p>
    <w:p>
      <w:r>
        <w:rPr>
          <w:b w:val="0"/>
          <w:i w:val="0"/>
        </w:rPr>
        <w:t>Approved tenants sign a Florida residential lease electronically. Their deposit goes into a separate Florida account, they are told in writing within 30 days how it is held, and at the end of the tenancy it is returned within 15 days or a claim is sent within 30, as Florida law requires. The move-in inspection, with dated photographs of every room, is the record against which the move-out is judged.</w:t>
      </w:r>
    </w:p>
    <w:p>
      <w:bookmarkStart w:id="39" w:name="toc_6_5_1"/>
      <w:pPr>
        <w:pStyle w:val="Heading2"/>
      </w:pPr>
      <w:r>
        <w:t xml:space="preserve">6.5.1  </w:t>
      </w:r>
      <w:r>
        <w:t>Full-Service Rental Management</w:t>
      </w:r>
      <w:bookmarkEnd w:id="39"/>
    </w:p>
    <w:p>
      <w:r>
        <w:rPr>
          <w:b w:val="0"/>
          <w:i w:val="0"/>
        </w:rPr>
        <w:t>Keelridge runs the rental from first listing to final move-out: it prices and markets the home, screens and places the tenant, collects rent into a Florida trust account and sends repairs to vetted local vendors. Owners receive a monthly statement with every vendor invoice attached and their net rent paid by the 10th.</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3" name="Picture 9033"/>
                  <wp:cNvGraphicFramePr>
                    <a:graphicFrameLocks noChangeAspect="1"/>
                  </wp:cNvGraphicFramePr>
                  <a:graphic>
                    <a:graphicData uri="http://schemas.openxmlformats.org/drawingml/2006/picture">
                      <pic:pic>
                        <pic:nvPicPr>
                          <pic:cNvPr id="0" name="image.jpg"/>
                          <pic:cNvPicPr/>
                        </pic:nvPicPr>
                        <pic:blipFill>
                          <a:blip r:embed="rId45"/>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9% of collected rent per month</w:t>
            </w:r>
          </w:p>
          <w:p>
            <w:pPr>
              <w:spacing w:after="0" w:line="308" w:lineRule="exact"/>
            </w:pPr>
            <w:r>
              <w:rPr>
                <w:b w:val="0"/>
                <w:i w:val="0"/>
                <w:spacing w:val="0"/>
                <w:sz w:val="21"/>
              </w:rPr>
              <w:t>No fee is charged in a month when no rent is collected. A leasing fee of 75% of one month's rent applies when a new tenant moves in, and $250 when a tenant renews. The monthly fee covers rent collection into the trust account, tenant communication, the photographed inspections and the owner's monthly statement. Repairs are billed to the owner at the vendor's invoice price with the invoice attached, and net rent is paid to the owner by the 10th of each month, with year-end tax forms in the owner portal.</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Single-family homes, townhomes and buildings of up to four units</w:t>
            </w:r>
          </w:p>
          <w:p>
            <w:pPr>
              <w:pStyle w:val="ListBullet"/>
              <w:spacing w:before="0" w:after="91" w:line="315" w:lineRule="exact"/>
              <w:ind w:left="283" w:hanging="198"/>
            </w:pPr>
            <w:r>
              <w:rPr>
                <w:rFonts w:ascii="Roboto" w:hAnsi="Roboto" w:cs="Roboto"/>
                <w:b w:val="0"/>
                <w:i w:val="0"/>
                <w:color w:val="0A0A0A"/>
                <w:spacing w:val="0"/>
                <w:sz w:val="21"/>
              </w:rPr>
              <w:t>Rent collected online into a separate trust account</w:t>
            </w:r>
          </w:p>
          <w:p>
            <w:pPr>
              <w:pStyle w:val="ListBullet"/>
              <w:spacing w:before="0" w:after="91" w:line="315" w:lineRule="exact"/>
              <w:ind w:left="283" w:hanging="198"/>
            </w:pPr>
            <w:r>
              <w:rPr>
                <w:rFonts w:ascii="Roboto" w:hAnsi="Roboto" w:cs="Roboto"/>
                <w:b w:val="0"/>
                <w:i w:val="0"/>
                <w:color w:val="0A0A0A"/>
                <w:spacing w:val="0"/>
                <w:sz w:val="21"/>
              </w:rPr>
              <w:t>Repairs billed to the owner at the vendor's invoice price</w:t>
            </w:r>
          </w:p>
          <w:p>
            <w:pPr>
              <w:pStyle w:val="ListBullet"/>
              <w:spacing w:before="0" w:after="91" w:line="315" w:lineRule="exact"/>
              <w:ind w:left="283" w:hanging="198"/>
            </w:pPr>
            <w:r>
              <w:rPr>
                <w:rFonts w:ascii="Roboto" w:hAnsi="Roboto" w:cs="Roboto"/>
                <w:b w:val="0"/>
                <w:i w:val="0"/>
                <w:color w:val="0A0A0A"/>
                <w:spacing w:val="0"/>
                <w:sz w:val="21"/>
              </w:rPr>
              <w:t>Photographed move-in, move-out and mid-lease inspections</w:t>
            </w:r>
          </w:p>
          <w:p>
            <w:pPr>
              <w:pStyle w:val="ListBullet"/>
              <w:spacing w:before="0" w:after="91" w:line="315" w:lineRule="exact"/>
              <w:ind w:left="283" w:hanging="198"/>
            </w:pPr>
            <w:r>
              <w:rPr>
                <w:rFonts w:ascii="Roboto" w:hAnsi="Roboto" w:cs="Roboto"/>
                <w:b w:val="0"/>
                <w:i w:val="0"/>
                <w:color w:val="0A0A0A"/>
                <w:spacing w:val="0"/>
                <w:sz w:val="21"/>
              </w:rPr>
              <w:t>Security deposits held under Florida Statutes section 83.49</w:t>
            </w:r>
          </w:p>
          <w:p>
            <w:pPr>
              <w:pStyle w:val="ListBullet"/>
              <w:spacing w:before="0" w:after="0" w:line="315" w:lineRule="exact"/>
              <w:ind w:left="283" w:hanging="198"/>
            </w:pPr>
            <w:r>
              <w:rPr>
                <w:rFonts w:ascii="Roboto" w:hAnsi="Roboto" w:cs="Roboto"/>
                <w:b w:val="0"/>
                <w:i w:val="0"/>
                <w:color w:val="0A0A0A"/>
                <w:spacing w:val="0"/>
                <w:sz w:val="21"/>
              </w:rPr>
              <w:t>Owner portal with monthly statements and year-end tax forms</w:t>
            </w:r>
          </w:p>
        </w:tc>
      </w:tr>
    </w:tbl>
    <w:p>
      <w:pPr>
        <w:spacing w:before="0" w:after="0" w:line="80" w:lineRule="exact"/>
      </w:pPr>
    </w:p>
    <w:p>
      <w:bookmarkStart w:id="40" w:name="toc_6_5_2"/>
      <w:pPr>
        <w:pStyle w:val="Heading2"/>
      </w:pPr>
      <w:r>
        <w:t xml:space="preserve">6.5.2  </w:t>
      </w:r>
      <w:r>
        <w:t>Leasing-Only Tenant Placement</w:t>
      </w:r>
      <w:bookmarkEnd w:id="40"/>
    </w:p>
    <w:p>
      <w:r>
        <w:rPr>
          <w:b w:val="0"/>
          <w:i w:val="0"/>
        </w:rPr>
        <w:t>For owners who want to run the home themselves once it is let, Keelridge finds and places the tenant: it prices the rental, photographs and lists it, holds the showings and screens every applicant against written criteria. The service ends when the lease is signed, the deposit is handed over and the move-in inspection is delivered.</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4" name="Picture 9034"/>
                  <wp:cNvGraphicFramePr>
                    <a:graphicFrameLocks noChangeAspect="1"/>
                  </wp:cNvGraphicFramePr>
                  <a:graphic>
                    <a:graphicData uri="http://schemas.openxmlformats.org/drawingml/2006/picture">
                      <pic:pic>
                        <pic:nvPicPr>
                          <pic:cNvPr id="0" name="image.jpg"/>
                          <pic:cNvPicPr/>
                        </pic:nvPicPr>
                        <pic:blipFill>
                          <a:blip r:embed="rId46"/>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75% of one month's rent</w:t>
            </w:r>
          </w:p>
          <w:p>
            <w:pPr>
              <w:spacing w:after="0" w:line="308" w:lineRule="exact"/>
            </w:pPr>
            <w:r>
              <w:rPr>
                <w:b w:val="0"/>
                <w:i w:val="0"/>
                <w:spacing w:val="0"/>
                <w:sz w:val="21"/>
              </w:rPr>
              <w:t>Charged once, from the first month's rent, when the tenant moves in. If the owner moves the home to full management within 90 days, the first month's management fee is waived. The fee covers the rent price analysis, photographs and listing, showings, screening against written criteria and the signed Florida lease. Nothing is charged unless a tenant is placed, and the service ends with the deposit handed over and the photographed move-in inspection report delivered, after which the owner runs the home.</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Rent price analysis against comparable Jacksonville listings</w:t>
            </w:r>
          </w:p>
          <w:p>
            <w:pPr>
              <w:pStyle w:val="ListBullet"/>
              <w:spacing w:before="0" w:after="91" w:line="315" w:lineRule="exact"/>
              <w:ind w:left="283" w:hanging="198"/>
            </w:pPr>
            <w:r>
              <w:rPr>
                <w:rFonts w:ascii="Roboto" w:hAnsi="Roboto" w:cs="Roboto"/>
                <w:b w:val="0"/>
                <w:i w:val="0"/>
                <w:color w:val="0A0A0A"/>
                <w:spacing w:val="0"/>
                <w:sz w:val="21"/>
              </w:rPr>
              <w:t>Listing syndicated to the major rental sites</w:t>
            </w:r>
          </w:p>
          <w:p>
            <w:pPr>
              <w:pStyle w:val="ListBullet"/>
              <w:spacing w:before="0" w:after="91" w:line="315" w:lineRule="exact"/>
              <w:ind w:left="283" w:hanging="198"/>
            </w:pPr>
            <w:r>
              <w:rPr>
                <w:rFonts w:ascii="Roboto" w:hAnsi="Roboto" w:cs="Roboto"/>
                <w:b w:val="0"/>
                <w:i w:val="0"/>
                <w:color w:val="0A0A0A"/>
                <w:spacing w:val="0"/>
                <w:sz w:val="21"/>
              </w:rPr>
              <w:t>Self-guided and accompanied showings with identity checks</w:t>
            </w:r>
          </w:p>
          <w:p>
            <w:pPr>
              <w:pStyle w:val="ListBullet"/>
              <w:spacing w:before="0" w:after="91" w:line="315" w:lineRule="exact"/>
              <w:ind w:left="283" w:hanging="198"/>
            </w:pPr>
            <w:r>
              <w:rPr>
                <w:rFonts w:ascii="Roboto" w:hAnsi="Roboto" w:cs="Roboto"/>
                <w:b w:val="0"/>
                <w:i w:val="0"/>
                <w:color w:val="0A0A0A"/>
                <w:spacing w:val="0"/>
                <w:sz w:val="21"/>
              </w:rPr>
              <w:t>Screening under written criteria and the Fair Credit Reporting Act</w:t>
            </w:r>
          </w:p>
          <w:p>
            <w:pPr>
              <w:pStyle w:val="ListBullet"/>
              <w:spacing w:before="0" w:after="91" w:line="315" w:lineRule="exact"/>
              <w:ind w:left="283" w:hanging="198"/>
            </w:pPr>
            <w:r>
              <w:rPr>
                <w:rFonts w:ascii="Roboto" w:hAnsi="Roboto" w:cs="Roboto"/>
                <w:b w:val="0"/>
                <w:i w:val="0"/>
                <w:color w:val="0A0A0A"/>
                <w:spacing w:val="0"/>
                <w:sz w:val="21"/>
              </w:rPr>
              <w:t>Florida residential lease prepared and signed electronically</w:t>
            </w:r>
          </w:p>
          <w:p>
            <w:pPr>
              <w:pStyle w:val="ListBullet"/>
              <w:spacing w:before="0" w:after="0" w:line="315" w:lineRule="exact"/>
              <w:ind w:left="283" w:hanging="198"/>
            </w:pPr>
            <w:r>
              <w:rPr>
                <w:rFonts w:ascii="Roboto" w:hAnsi="Roboto" w:cs="Roboto"/>
                <w:b w:val="0"/>
                <w:i w:val="0"/>
                <w:color w:val="0A0A0A"/>
                <w:spacing w:val="0"/>
                <w:sz w:val="21"/>
              </w:rPr>
              <w:t>Photographed move-in inspection report for the owner</w:t>
            </w:r>
          </w:p>
        </w:tc>
      </w:tr>
    </w:tbl>
    <w:p>
      <w:pPr>
        <w:spacing w:before="0" w:after="0" w:line="80" w:lineRule="exact"/>
      </w:pPr>
    </w:p>
    <w:p>
      <w:bookmarkStart w:id="41" w:name="toc_6_5_3"/>
      <w:pPr>
        <w:pStyle w:val="Heading2"/>
      </w:pPr>
      <w:r>
        <w:t xml:space="preserve">6.5.3  </w:t>
      </w:r>
      <w:r>
        <w:t>Features</w:t>
      </w:r>
      <w:bookmarkEnd w:id="41"/>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Trust account rent collection</w:t>
                  </w:r>
                </w:p>
                <w:p>
                  <w:pPr>
                    <w:spacing w:before="0" w:after="0" w:line="284" w:lineRule="exact"/>
                  </w:pPr>
                  <w:r>
                    <w:rPr>
                      <w:rFonts w:ascii="Roboto" w:hAnsi="Roboto" w:cs="Roboto"/>
                      <w:b w:val="0"/>
                      <w:i w:val="0"/>
                      <w:color w:val="0A0A0A"/>
                      <w:spacing w:val="0"/>
                      <w:sz w:val="19"/>
                    </w:rPr>
                    <w:t>Tenants pay online, rent lands in a separate Florida trust account and owners are paid their net by the 10th of each month.</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Cost-price repairs</w:t>
                  </w:r>
                </w:p>
                <w:p>
                  <w:pPr>
                    <w:spacing w:before="0" w:after="0" w:line="284" w:lineRule="exact"/>
                  </w:pPr>
                  <w:r>
                    <w:rPr>
                      <w:rFonts w:ascii="Roboto" w:hAnsi="Roboto" w:cs="Roboto"/>
                      <w:b w:val="0"/>
                      <w:i w:val="0"/>
                      <w:color w:val="0A0A0A"/>
                      <w:spacing w:val="0"/>
                      <w:sz w:val="19"/>
                    </w:rPr>
                    <w:t>Work orders go to licensed and insured vendors and are billed to owners at the invoice price, with the invoice attached.</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Photographed inspections</w:t>
                  </w:r>
                </w:p>
                <w:p>
                  <w:pPr>
                    <w:spacing w:before="0" w:after="0" w:line="284" w:lineRule="exact"/>
                  </w:pPr>
                  <w:r>
                    <w:rPr>
                      <w:rFonts w:ascii="Roboto" w:hAnsi="Roboto" w:cs="Roboto"/>
                      <w:b w:val="0"/>
                      <w:i w:val="0"/>
                      <w:color w:val="0A0A0A"/>
                      <w:spacing w:val="0"/>
                      <w:sz w:val="19"/>
                    </w:rPr>
                    <w:t>Move-in, move-out and a yearly mid-lease inspection, each posted to the owner portal with dated photographs.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8" name="Picture 9038"/>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Written screening criteria</w:t>
                  </w:r>
                </w:p>
                <w:p>
                  <w:pPr>
                    <w:spacing w:before="0" w:after="0" w:line="284" w:lineRule="exact"/>
                  </w:pPr>
                  <w:r>
                    <w:rPr>
                      <w:rFonts w:ascii="Roboto" w:hAnsi="Roboto" w:cs="Roboto"/>
                      <w:b w:val="0"/>
                      <w:i w:val="0"/>
                      <w:color w:val="0A0A0A"/>
                      <w:spacing w:val="0"/>
                      <w:sz w:val="19"/>
                    </w:rPr>
                    <w:t>Every applicant is screened against the same published income, rental history and identity checks, applied under fair housing law.</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9" name="Picture 903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Owner portal</w:t>
                  </w:r>
                </w:p>
                <w:p>
                  <w:pPr>
                    <w:spacing w:before="0" w:after="0" w:line="284" w:lineRule="exact"/>
                  </w:pPr>
                  <w:r>
                    <w:rPr>
                      <w:rFonts w:ascii="Roboto" w:hAnsi="Roboto" w:cs="Roboto"/>
                      <w:b w:val="0"/>
                      <w:i w:val="0"/>
                      <w:color w:val="0A0A0A"/>
                      <w:spacing w:val="0"/>
                      <w:sz w:val="19"/>
                    </w:rPr>
                    <w:t>Statements, invoices, leases and year-end tax forms in one online account the owner can open from anywhere.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0" name="Picture 9040"/>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Renewal and vacancy planning</w:t>
                  </w:r>
                </w:p>
                <w:p>
                  <w:pPr>
                    <w:spacing w:before="0" w:after="0" w:line="284" w:lineRule="exact"/>
                  </w:pPr>
                  <w:r>
                    <w:rPr>
                      <w:rFonts w:ascii="Roboto" w:hAnsi="Roboto" w:cs="Roboto"/>
                      <w:b w:val="0"/>
                      <w:i w:val="0"/>
                      <w:color w:val="0A0A0A"/>
                      <w:spacing w:val="0"/>
                      <w:sz w:val="19"/>
                    </w:rPr>
                    <w:t>Renewals are offered 75 days before a lease ends, so a home that will turn over is listed before it is empty.</w:t>
                  </w:r>
                </w:p>
              </w:tc>
            </w:tr>
          </w:tbl>
          <w:p>
            <w:pPr>
              <w:spacing w:before="0" w:after="0" w:line="20" w:lineRule="exact"/>
            </w:pPr>
          </w:p>
        </w:tc>
      </w:tr>
    </w:tbl>
    <w:p>
      <w:pPr>
        <w:spacing w:before="0" w:after="0" w:line="80" w:lineRule="exact"/>
      </w:pPr>
    </w:p>
    <w:p>
      <w:bookmarkStart w:id="42" w:name="toc_6_5_4"/>
      <w:pPr>
        <w:pStyle w:val="Heading2"/>
      </w:pPr>
      <w:r>
        <w:t xml:space="preserve">6.5.4  </w:t>
      </w:r>
      <w:r>
        <w:t>Pricing</w:t>
      </w:r>
      <w:bookmarkEnd w:id="4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Leasing Only</w:t>
            </w:r>
          </w:p>
          <w:p>
            <w:pPr>
              <w:spacing w:before="57" w:after="57" w:line="276" w:lineRule="auto"/>
              <w:jc w:val="center"/>
            </w:pPr>
            <w:r>
              <w:rPr>
                <w:rFonts w:ascii="Roboto Bold" w:hAnsi="Roboto Bold" w:cs="Roboto Bold" w:eastAsia="Roboto Bold"/>
                <w:b w:val="0"/>
                <w:i w:val="0"/>
                <w:color w:val="0A0A0A"/>
                <w:spacing w:val="0"/>
                <w:sz w:val="36"/>
              </w:rPr>
              <w:t>75% of one month's rent</w:t>
            </w:r>
          </w:p>
          <w:p>
            <w:pPr>
              <w:spacing w:before="0" w:after="170" w:line="276" w:lineRule="auto"/>
              <w:jc w:val="center"/>
            </w:pPr>
            <w:r>
              <w:rPr>
                <w:rFonts w:ascii="Roboto" w:hAnsi="Roboto" w:cs="Roboto"/>
                <w:b w:val="0"/>
                <w:i w:val="0"/>
                <w:color w:val="595959"/>
                <w:spacing w:val="0"/>
                <w:sz w:val="18"/>
              </w:rPr>
              <w:t>one time</w:t>
            </w:r>
          </w:p>
          <w:p>
            <w:pPr>
              <w:pStyle w:val="ListBullet"/>
              <w:spacing w:before="0" w:after="68" w:line="276" w:lineRule="auto"/>
              <w:ind w:left="283" w:hanging="198"/>
              <w:jc w:val="left"/>
            </w:pPr>
            <w:r>
              <w:rPr>
                <w:rFonts w:ascii="Roboto" w:hAnsi="Roboto" w:cs="Roboto"/>
                <w:b w:val="0"/>
                <w:i w:val="0"/>
                <w:color w:val="0A0A0A"/>
                <w:spacing w:val="0"/>
                <w:sz w:val="18"/>
              </w:rPr>
              <w:t>Rental price analysis and listing photography</w:t>
            </w:r>
          </w:p>
          <w:p>
            <w:pPr>
              <w:pStyle w:val="ListBullet"/>
              <w:spacing w:before="0" w:after="68" w:line="276" w:lineRule="auto"/>
              <w:ind w:left="283" w:hanging="198"/>
              <w:jc w:val="left"/>
            </w:pPr>
            <w:r>
              <w:rPr>
                <w:rFonts w:ascii="Roboto" w:hAnsi="Roboto" w:cs="Roboto"/>
                <w:b w:val="0"/>
                <w:i w:val="0"/>
                <w:color w:val="0A0A0A"/>
                <w:spacing w:val="0"/>
                <w:sz w:val="18"/>
              </w:rPr>
              <w:t>Showings, applications and written screening</w:t>
            </w:r>
          </w:p>
          <w:p>
            <w:pPr>
              <w:pStyle w:val="ListBullet"/>
              <w:spacing w:before="0" w:after="68" w:line="276" w:lineRule="auto"/>
              <w:ind w:left="283" w:hanging="198"/>
              <w:jc w:val="left"/>
            </w:pPr>
            <w:r>
              <w:rPr>
                <w:rFonts w:ascii="Roboto" w:hAnsi="Roboto" w:cs="Roboto"/>
                <w:b w:val="0"/>
                <w:i w:val="0"/>
                <w:color w:val="0A0A0A"/>
                <w:spacing w:val="0"/>
                <w:sz w:val="18"/>
              </w:rPr>
              <w:t>Florida lease signed and move-in inspection photographed</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Full-Service Management</w:t>
            </w:r>
          </w:p>
          <w:p>
            <w:pPr>
              <w:spacing w:before="57" w:after="57" w:line="276" w:lineRule="auto"/>
              <w:jc w:val="center"/>
            </w:pPr>
            <w:r>
              <w:rPr>
                <w:rFonts w:ascii="Roboto Bold" w:hAnsi="Roboto Bold" w:cs="Roboto Bold" w:eastAsia="Roboto Bold"/>
                <w:b w:val="0"/>
                <w:i w:val="0"/>
                <w:color w:val="0A0A0A"/>
                <w:spacing w:val="0"/>
                <w:sz w:val="36"/>
              </w:rPr>
              <w:t>9% of collected rent</w:t>
            </w:r>
          </w:p>
          <w:p>
            <w:pPr>
              <w:spacing w:before="0" w:after="170" w:line="276" w:lineRule="auto"/>
              <w:jc w:val="center"/>
            </w:pPr>
            <w:r>
              <w:rPr>
                <w:rFonts w:ascii="Roboto" w:hAnsi="Roboto" w:cs="Roboto"/>
                <w:b w:val="0"/>
                <w:i w:val="0"/>
                <w:color w:val="595959"/>
                <w:spacing w:val="0"/>
                <w:sz w:val="18"/>
              </w:rPr>
              <w:t>per month</w:t>
            </w:r>
          </w:p>
          <w:p>
            <w:pPr>
              <w:pStyle w:val="ListBullet"/>
              <w:spacing w:before="0" w:after="68" w:line="276" w:lineRule="auto"/>
              <w:ind w:left="283" w:hanging="198"/>
              <w:jc w:val="left"/>
            </w:pPr>
            <w:r>
              <w:rPr>
                <w:rFonts w:ascii="Roboto" w:hAnsi="Roboto" w:cs="Roboto"/>
                <w:b w:val="0"/>
                <w:i w:val="0"/>
                <w:color w:val="0A0A0A"/>
                <w:spacing w:val="0"/>
                <w:sz w:val="18"/>
              </w:rPr>
              <w:t>Rent collection into a Florida trust account</w:t>
            </w:r>
          </w:p>
          <w:p>
            <w:pPr>
              <w:pStyle w:val="ListBullet"/>
              <w:spacing w:before="0" w:after="68" w:line="276" w:lineRule="auto"/>
              <w:ind w:left="283" w:hanging="198"/>
              <w:jc w:val="left"/>
            </w:pPr>
            <w:r>
              <w:rPr>
                <w:rFonts w:ascii="Roboto" w:hAnsi="Roboto" w:cs="Roboto"/>
                <w:b w:val="0"/>
                <w:i w:val="0"/>
                <w:color w:val="0A0A0A"/>
                <w:spacing w:val="0"/>
                <w:sz w:val="18"/>
              </w:rPr>
              <w:t>Repairs dispatched and billed at vendor cost</w:t>
            </w:r>
          </w:p>
          <w:p>
            <w:pPr>
              <w:pStyle w:val="ListBullet"/>
              <w:spacing w:before="0" w:after="68" w:line="276" w:lineRule="auto"/>
              <w:ind w:left="283" w:hanging="198"/>
              <w:jc w:val="left"/>
            </w:pPr>
            <w:r>
              <w:rPr>
                <w:rFonts w:ascii="Roboto" w:hAnsi="Roboto" w:cs="Roboto"/>
                <w:b w:val="0"/>
                <w:i w:val="0"/>
                <w:color w:val="0A0A0A"/>
                <w:spacing w:val="0"/>
                <w:sz w:val="18"/>
              </w:rPr>
              <w:t>Monthly owner statement and online portal</w:t>
            </w:r>
          </w:p>
          <w:p>
            <w:pPr>
              <w:pStyle w:val="ListBullet"/>
              <w:spacing w:before="0" w:after="68" w:line="276" w:lineRule="auto"/>
              <w:ind w:left="283" w:hanging="198"/>
              <w:jc w:val="left"/>
            </w:pPr>
            <w:r>
              <w:rPr>
                <w:rFonts w:ascii="Roboto" w:hAnsi="Roboto" w:cs="Roboto"/>
                <w:b w:val="0"/>
                <w:i w:val="0"/>
                <w:color w:val="0A0A0A"/>
                <w:spacing w:val="0"/>
                <w:sz w:val="18"/>
              </w:rPr>
              <w:t>Leasing fee of 75% of one month's rent; renewals $250</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Full-Service Plus</w:t>
            </w:r>
          </w:p>
          <w:p>
            <w:pPr>
              <w:spacing w:before="57" w:after="57" w:line="276" w:lineRule="auto"/>
              <w:jc w:val="center"/>
            </w:pPr>
            <w:r>
              <w:rPr>
                <w:rFonts w:ascii="Roboto Bold" w:hAnsi="Roboto Bold" w:cs="Roboto Bold" w:eastAsia="Roboto Bold"/>
                <w:b w:val="0"/>
                <w:i w:val="0"/>
                <w:color w:val="0A0A0A"/>
                <w:spacing w:val="0"/>
                <w:sz w:val="36"/>
              </w:rPr>
              <w:t>11% of collected rent</w:t>
            </w:r>
          </w:p>
          <w:p>
            <w:pPr>
              <w:spacing w:before="0" w:after="170" w:line="276" w:lineRule="auto"/>
              <w:jc w:val="center"/>
            </w:pPr>
            <w:r>
              <w:rPr>
                <w:rFonts w:ascii="Roboto" w:hAnsi="Roboto" w:cs="Roboto"/>
                <w:b w:val="0"/>
                <w:i w:val="0"/>
                <w:color w:val="595959"/>
                <w:spacing w:val="0"/>
                <w:sz w:val="18"/>
              </w:rPr>
              <w:t>per month</w:t>
            </w:r>
          </w:p>
          <w:p>
            <w:pPr>
              <w:pStyle w:val="ListBullet"/>
              <w:spacing w:before="0" w:after="68" w:line="276" w:lineRule="auto"/>
              <w:ind w:left="283" w:hanging="198"/>
              <w:jc w:val="left"/>
            </w:pPr>
            <w:r>
              <w:rPr>
                <w:rFonts w:ascii="Roboto" w:hAnsi="Roboto" w:cs="Roboto"/>
                <w:b w:val="0"/>
                <w:i w:val="0"/>
                <w:color w:val="0A0A0A"/>
                <w:spacing w:val="0"/>
                <w:sz w:val="18"/>
              </w:rPr>
              <w:t>Everything in Full-Service Management</w:t>
            </w:r>
          </w:p>
          <w:p>
            <w:pPr>
              <w:pStyle w:val="ListBullet"/>
              <w:spacing w:before="0" w:after="68" w:line="276" w:lineRule="auto"/>
              <w:ind w:left="283" w:hanging="198"/>
              <w:jc w:val="left"/>
            </w:pPr>
            <w:r>
              <w:rPr>
                <w:rFonts w:ascii="Roboto" w:hAnsi="Roboto" w:cs="Roboto"/>
                <w:b w:val="0"/>
                <w:i w:val="0"/>
                <w:color w:val="0A0A0A"/>
                <w:spacing w:val="0"/>
                <w:sz w:val="18"/>
              </w:rPr>
              <w:t>Leasing fee reduced to 50% of one month's rent</w:t>
            </w:r>
          </w:p>
          <w:p>
            <w:pPr>
              <w:pStyle w:val="ListBullet"/>
              <w:spacing w:before="0" w:after="68" w:line="276" w:lineRule="auto"/>
              <w:ind w:left="283" w:hanging="198"/>
              <w:jc w:val="left"/>
            </w:pPr>
            <w:r>
              <w:rPr>
                <w:rFonts w:ascii="Roboto" w:hAnsi="Roboto" w:cs="Roboto"/>
                <w:b w:val="0"/>
                <w:i w:val="0"/>
                <w:color w:val="0A0A0A"/>
                <w:spacing w:val="0"/>
                <w:sz w:val="18"/>
              </w:rPr>
              <w:t>No renewal fee and two photographed inspections a year</w:t>
            </w:r>
          </w:p>
          <w:p>
            <w:pPr>
              <w:pStyle w:val="ListBullet"/>
              <w:spacing w:before="0" w:after="68" w:line="276" w:lineRule="auto"/>
              <w:ind w:left="283" w:hanging="198"/>
              <w:jc w:val="left"/>
            </w:pPr>
            <w:r>
              <w:rPr>
                <w:rFonts w:ascii="Roboto" w:hAnsi="Roboto" w:cs="Roboto"/>
                <w:b w:val="0"/>
                <w:i w:val="0"/>
                <w:color w:val="0A0A0A"/>
                <w:spacing w:val="0"/>
                <w:sz w:val="18"/>
              </w:rPr>
              <w:t>Eviction coordination included</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F4858"/>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F4858"/>
              </w:pBdr>
            </w:pPr>
            <w:r>
              <w:rPr>
                <w:spacing w:val="0"/>
                <w:sz w:val="4"/>
                <w:szCs w:val="4"/>
              </w:rPr>
              <w:t xml:space="preserve"/>
            </w:r>
          </w:p>
        </w:tc>
      </w:tr>
    </w:tbl>
    <w:p>
      <w:bookmarkStart w:id="43" w:name="toc_7"/>
      <w:pPr>
        <w:pStyle w:val="Heading1"/>
        <w:spacing w:before="440" w:after="200"/>
      </w:pPr>
      <w:r>
        <w:t>Marketing &amp; Sales Strategies</w:t>
      </w:r>
      <w:bookmarkEnd w:id="43"/>
    </w:p>
    <w:p>
      <w:pPr>
        <w:spacing w:after="360"/>
        <w:ind w:right="9490"/>
        <w:pBdr>
          <w:bottom w:val="single" w:sz="18" w:space="0" w:color="2F4858"/>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4" w:name="toc_7_1"/>
      <w:pPr>
        <w:pStyle w:val="Heading2"/>
      </w:pPr>
      <w:r>
        <w:t xml:space="preserve">7.1  </w:t>
      </w:r>
      <w:r>
        <w:t>Market Positioning</w:t>
      </w:r>
      <w:bookmarkEnd w:id="44"/>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41" name="Picture 904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51"/>
                    <a:stretch>
                      <a:fillRect/>
                    </a:stretch>
                  </pic:blipFill>
                  <pic:spPr>
                    <a:xfrm>
                      <a:off x="0" y="0"/>
                      <a:ext cx="2873375" cy="2155032"/>
                    </a:xfrm>
                    <a:prstGeom prst="rect"/>
                  </pic:spPr>
                </pic:pic>
              </a:graphicData>
            </a:graphic>
          </wp:anchor>
        </w:drawing>
      </w:r>
      <w:r>
        <w:rPr>
          <w:b w:val="0"/>
          <w:i w:val="0"/>
        </w:rPr>
        <w:t>Keelridge positions itself as the transparent manager for owners who are not in Jacksonville: repairs at cost, homes photographed and visible, and a broker who answers. It does not compete on the lowest monthly fee, and at 9% of collected rent it sits close to the national average rather than below it.</w:t>
      </w:r>
    </w:p>
    <w:p>
      <w:pPr>
        <w:spacing w:before="0" w:after="0" w:lineRule="exact" w:line="20"/>
      </w:pPr>
      <w:r>
        <w:rPr>
          <w:spacing w:val="0"/>
          <w:sz w:val="2"/>
        </w:rPr>
        <w:br w:type="textWrapping" w:clear="all"/>
      </w:r>
    </w:p>
    <w:p>
      <w:bookmarkStart w:id="45" w:name="toc_7_2"/>
      <w:pPr>
        <w:pStyle w:val="Heading2"/>
      </w:pPr>
      <w:r>
        <w:t xml:space="preserve">7.2  </w:t>
      </w:r>
      <w:r>
        <w:t>Marketing Objectives</w:t>
      </w:r>
      <w:bookmarkEnd w:id="45"/>
    </w:p>
    <w:p>
      <w:pPr>
        <w:pStyle w:val="ListBullet"/>
      </w:pPr>
      <w:r>
        <w:rPr>
          <w:b w:val="0"/>
          <w:i w:val="0"/>
        </w:rPr>
        <w:t>Grow from about 48 doors at opening to 160 by the end of the first year, roughly ten new doors a month.</w:t>
      </w:r>
    </w:p>
    <w:p>
      <w:pPr>
        <w:pStyle w:val="ListBullet"/>
      </w:pPr>
      <w:r>
        <w:rPr>
          <w:b w:val="0"/>
          <w:i w:val="0"/>
        </w:rPr>
        <w:t>Win at least half of new owners through referrals from agents, relocation contacts and existing owners.</w:t>
      </w:r>
    </w:p>
    <w:p>
      <w:pPr>
        <w:pStyle w:val="ListBullet"/>
      </w:pPr>
      <w:r>
        <w:rPr>
          <w:b w:val="0"/>
          <w:i w:val="0"/>
        </w:rPr>
        <w:t>Convert one in three leasing-only clients to full management within a year of their placement.</w:t>
      </w:r>
    </w:p>
    <w:p>
      <w:pPr>
        <w:pStyle w:val="ListBullet"/>
        <w:spacing w:after="227"/>
      </w:pPr>
      <w:r>
        <w:rPr>
          <w:b w:val="0"/>
          <w:i w:val="0"/>
        </w:rPr>
        <w:t>Keep owner retention high enough that the book grows every month after the first year.</w:t>
      </w:r>
    </w:p>
    <w:p>
      <w:r>
        <w:rPr>
          <w:b w:val="0"/>
          <w:i w:val="0"/>
        </w:rPr>
        <w:t>The first-year marketing budget is $18,346, 7% of revenue, spent mostly on the channels that reach owners already looking for a manager rather than on brand advertising.</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Agent &amp; Relocation Referrals</w:t>
            </w:r>
          </w:p>
          <w:p>
            <w:pPr>
              <w:spacing w:before="113" w:after="0" w:line="460" w:lineRule="exact"/>
              <w:jc w:val="center"/>
            </w:pPr>
            <w:r>
              <w:rPr>
                <w:rFonts w:ascii="Roboto Bold" w:hAnsi="Roboto Bold" w:cs="Roboto Bold" w:eastAsia="Roboto Bold"/>
                <w:b w:val="0"/>
                <w:i w:val="0"/>
                <w:color w:val="0A0A0A"/>
                <w:spacing w:val="0"/>
                <w:sz w:val="40"/>
              </w:rPr>
              <w:t>$535</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Referral fees paid to real estate agents and relocation contacts who send owners.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Owner Search Advertising</w:t>
            </w:r>
          </w:p>
          <w:p>
            <w:pPr>
              <w:spacing w:before="113" w:after="0" w:line="460" w:lineRule="exact"/>
              <w:jc w:val="center"/>
            </w:pPr>
            <w:r>
              <w:rPr>
                <w:rFonts w:ascii="Roboto Bold" w:hAnsi="Roboto Bold" w:cs="Roboto Bold" w:eastAsia="Roboto Bold"/>
                <w:b w:val="0"/>
                <w:i w:val="0"/>
                <w:color w:val="0A0A0A"/>
                <w:spacing w:val="0"/>
                <w:sz w:val="40"/>
              </w:rPr>
              <w:t>$459</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Paid search for owners looking for a Jacksonville property manager.</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Investor &amp; Military Owner Events</w:t>
            </w:r>
          </w:p>
          <w:p>
            <w:pPr>
              <w:spacing w:before="113" w:after="0" w:line="460" w:lineRule="exact"/>
              <w:jc w:val="center"/>
            </w:pPr>
            <w:r>
              <w:rPr>
                <w:rFonts w:ascii="Roboto Bold" w:hAnsi="Roboto Bold" w:cs="Roboto Bold" w:eastAsia="Roboto Bold"/>
                <w:b w:val="0"/>
                <w:i w:val="0"/>
                <w:color w:val="0A0A0A"/>
                <w:spacing w:val="0"/>
                <w:sz w:val="40"/>
              </w:rPr>
              <w:t>$306</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Quarterly owner seminars and briefings near the two naval bases.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Reviews &amp; Local Listings</w:t>
            </w:r>
          </w:p>
          <w:p>
            <w:pPr>
              <w:spacing w:before="113" w:after="0" w:line="460" w:lineRule="exact"/>
              <w:jc w:val="center"/>
            </w:pPr>
            <w:r>
              <w:rPr>
                <w:rFonts w:ascii="Roboto Bold" w:hAnsi="Roboto Bold" w:cs="Roboto Bold" w:eastAsia="Roboto Bold"/>
                <w:b w:val="0"/>
                <w:i w:val="0"/>
                <w:color w:val="0A0A0A"/>
                <w:spacing w:val="0"/>
                <w:sz w:val="40"/>
              </w:rPr>
              <w:t>$229</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Business listings, review requests and owner case studies on the website.</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$18,346 a year, $1,529 a month.</w:t>
      </w:r>
    </w:p>
    <w:p>
      <w:bookmarkStart w:id="46" w:name="toc_7_3"/>
      <w:pPr>
        <w:pStyle w:val="Heading2"/>
      </w:pPr>
      <w:r>
        <w:t xml:space="preserve">7.3  </w:t>
      </w:r>
      <w:r>
        <w:t>Online Marketing</w:t>
      </w:r>
      <w:bookmarkEnd w:id="46"/>
    </w:p>
    <w:p>
      <w:r>
        <w:rPr>
          <w:b w:val="0"/>
          <w:i w:val="0"/>
        </w:rPr>
        <w:t>The website is built around a free rental price analysis: an owner enters an address and receives a rent estimate and a call from the broker, which is the firm's main online lead. Paid search targets owners looking for a property manager in Jacksonville and in the suburbs around the two naval bases. Every vacant home Keelridge lists also markets the firm, since owners researching managers often find them through their listings. After each move-in, owners are asked for a review, and short case studies show how a vacancy was filled or a repair priced.</w:t>
      </w:r>
    </w:p>
    <w:p>
      <w:r>
        <w:rPr>
          <w:b w:val="0"/>
          <w:i w:val="0"/>
        </w:rPr>
        <w:t>Search spend is kept narrow on purpose. It targets owners, not tenants, and it is concentrated on the parts of the metro where Keelridge already manages homes, so a new owner is never more than a short drive from the rest of the book. Each lead is tracked from the first enquiry to a signed agreement, and spend moves every quarter towards whichever channel signs the most doors for the money.</w:t>
      </w:r>
    </w:p>
    <w:p>
      <w:bookmarkStart w:id="47" w:name="toc_7_4"/>
      <w:pPr>
        <w:pStyle w:val="Heading2"/>
      </w:pPr>
      <w:r>
        <w:t xml:space="preserve">7.4  </w:t>
      </w:r>
      <w:r>
        <w:t>Public Relations and Branding</w:t>
      </w:r>
      <w:bookmarkEnd w:id="47"/>
    </w:p>
    <w:p>
      <w:r>
        <w:rPr>
          <w:b w:val="0"/>
          <w:i w:val="0"/>
        </w:rPr>
        <w:t>The Keelridge name and brand stand for a steady, plain-spoken firm rather than a sales pitch: a keel keeps a boat upright in rough water, which is the job an owner is hiring for. Each quarter the firm runs a short seminar for local investors on Florida's deposit and notice rules, and offers briefings for military families preparing to rent out a home before a move. Both build trust with owners well before they need a manager.</w:t>
      </w:r>
    </w:p>
    <w:p>
      <w:r>
        <w:rPr>
          <w:b w:val="0"/>
          <w:i w:val="0"/>
        </w:rPr>
        <w:t>The firm's own materials do the same job quietly. Every owner receives the same plain management agreement, a one-page fee schedule and a sample monthly statement before signing, so the promise of transparency is visible on paper before it is tested on a repair.</w:t>
      </w:r>
    </w:p>
    <w:p>
      <w:bookmarkStart w:id="48" w:name="toc_7_5"/>
      <w:pPr>
        <w:pStyle w:val="Heading2"/>
      </w:pPr>
      <w:r>
        <w:t xml:space="preserve">7.5  </w:t>
      </w:r>
      <w:r>
        <w:t>Partnership &amp; Collaboration Strategy</w:t>
      </w:r>
      <w:bookmarkEnd w:id="48"/>
    </w:p>
    <w:p>
      <w:r>
        <w:rPr>
          <w:b w:val="0"/>
          <w:i w:val="0"/>
        </w:rPr>
        <w:t>The most valuable partners are real estate agents, who meet owners at the moment they decide to rent rather than sell, and relocation contacts at employers and in the military community. Keelridge pays referral fees to licensed agents, as Florida brokerage rules allow, and never competes with them for a sale: an owner who later sells is referred back to the agent who sent them. A short bench of licensed and insured vendors, held to fixed response times, is the other partnership the business depends on.</w:t>
      </w:r>
    </w:p>
    <w:p>
      <w:r>
        <w:rPr>
          <w:b w:val="0"/>
          <w:i w:val="0"/>
        </w:rPr>
        <w:t>Homeowner associations are a third. Many rental homes in the metro's newer suburbs sit inside an association with its own rules on leasing, parking and exterior upkeep, and some require a tenant to be registered or approved before moving in. Keelridge keeps a contact at each association where it manages homes and builds its requirements into the leasing timeline, so a new tenant is never held at the gate on moving day.</w:t>
      </w:r>
    </w:p>
    <w:p>
      <w:bookmarkStart w:id="49" w:name="toc_7_6"/>
      <w:pPr>
        <w:pStyle w:val="Heading2"/>
      </w:pPr>
      <w:r>
        <w:t xml:space="preserve">7.6  </w:t>
      </w:r>
      <w:r>
        <w:t>Customer Loyalty &amp; Retention</w:t>
      </w:r>
      <w:bookmarkEnd w:id="49"/>
    </w:p>
    <w:p>
      <w:r>
        <w:rPr>
          <w:b w:val="0"/>
          <w:i w:val="0"/>
        </w:rPr>
        <w:t>An owner stays with a manager for two reasons: the money arrives on time and nothing about the home comes as a surprise. Keelridge pays every owner by the 10th, attaches every invoice to the statement and calls before any repair over an agreed limit. Tenant retention protects owners too, so renewals are offered 75 days before a lease ends and good tenants are kept with fair, market-based increases. Each owner gets a yearly review of the home's rent, condition and costs, which is also when a second home is most often handed over.</w:t>
      </w:r>
    </w:p>
    <w:p>
      <w:bookmarkStart w:id="50" w:name="toc_7_7"/>
      <w:pPr>
        <w:pStyle w:val="Heading2"/>
      </w:pPr>
      <w:r>
        <w:t xml:space="preserve">7.7  </w:t>
      </w:r>
      <w:r>
        <w:t>Sales Channels</w:t>
      </w:r>
      <w:bookmarkEnd w:id="50"/>
    </w:p>
    <w:p>
      <w:r>
        <w:rPr>
          <w:b w:val="0"/>
          <w:i w:val="0"/>
        </w:rPr>
        <w:t>Revenue reaches Keelridge through four routes: monthly fees on homes under full management, leasing and renewal fees on those same homes, owners referred by agents and relocation contacts, and leasing-only placements that may later convert. The first two make up nearly all of the revenue; the last two are how the book grows.</w:t>
      </w:r>
    </w:p>
    <w:p>
      <w:r>
        <w:rPr>
          <w:b w:val="0"/>
          <w:i w:val="0"/>
        </w:rPr>
        <w:t>The sale itself is made by the broker. Every new owner speaks to Marcus Whitfield before signing, receives the rental price analysis for the home and leaves the call knowing the fee, the leasing fee and the date the first statement will arrive. Agreements are signed electronically, so an owner in another state or on deployment can sign the same day.</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2" name="Picture 9042"/>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Full-service management agreements</w:t>
                  </w:r>
                </w:p>
                <w:p>
                  <w:pPr>
                    <w:spacing w:before="0" w:after="0" w:line="284" w:lineRule="exact"/>
                  </w:pPr>
                  <w:r>
                    <w:rPr>
                      <w:rFonts w:ascii="Roboto" w:hAnsi="Roboto" w:cs="Roboto"/>
                      <w:b w:val="0"/>
                      <w:i w:val="0"/>
                      <w:color w:val="0A0A0A"/>
                      <w:spacing w:val="0"/>
                      <w:sz w:val="19"/>
                    </w:rPr>
                    <w:t>The monthly fee on every managed door is most of the revenue, and it depends on keeping owners and keeping their homes let.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3" name="Picture 9043"/>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Leasing and renewal fees</w:t>
                  </w:r>
                </w:p>
                <w:p>
                  <w:pPr>
                    <w:spacing w:before="0" w:after="0" w:line="284" w:lineRule="exact"/>
                  </w:pPr>
                  <w:r>
                    <w:rPr>
                      <w:rFonts w:ascii="Roboto" w:hAnsi="Roboto" w:cs="Roboto"/>
                      <w:b w:val="0"/>
                      <w:i w:val="0"/>
                      <w:color w:val="0A0A0A"/>
                      <w:spacing w:val="0"/>
                      <w:sz w:val="19"/>
                    </w:rPr>
                    <w:t>A leasing fee each time a managed home is let and a renewal fee when a tenant stays, earned on the same doors.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4" name="Picture 9044"/>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Agent and relocation referrals</w:t>
                  </w:r>
                </w:p>
                <w:p>
                  <w:pPr>
                    <w:spacing w:before="0" w:after="0" w:line="284" w:lineRule="exact"/>
                  </w:pPr>
                  <w:r>
                    <w:rPr>
                      <w:rFonts w:ascii="Roboto" w:hAnsi="Roboto" w:cs="Roboto"/>
                      <w:b w:val="0"/>
                      <w:i w:val="0"/>
                      <w:color w:val="0A0A0A"/>
                      <w:spacing w:val="0"/>
                      <w:sz w:val="19"/>
                    </w:rPr>
                    <w:t>Real estate agents and relocation contacts refer owners who are moving away, and are worth the most per signed owner.</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5" name="Picture 9045"/>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Leasing-only placements</w:t>
                  </w:r>
                </w:p>
                <w:p>
                  <w:pPr>
                    <w:spacing w:before="0" w:after="0" w:line="284" w:lineRule="exact"/>
                  </w:pPr>
                  <w:r>
                    <w:rPr>
                      <w:rFonts w:ascii="Roboto" w:hAnsi="Roboto" w:cs="Roboto"/>
                      <w:b w:val="0"/>
                      <w:i w:val="0"/>
                      <w:color w:val="0A0A0A"/>
                      <w:spacing w:val="0"/>
                      <w:sz w:val="19"/>
                    </w:rPr>
                    <w:t>A one-time fee from owners who self-manage, and a route into full management for those who convert.</w:t>
                  </w:r>
                </w:p>
              </w:tc>
            </w:tr>
          </w:tbl>
          <w:p>
            <w:pPr>
              <w:spacing w:before="0" w:after="0" w:line="20" w:lineRule="exact"/>
            </w:pPr>
          </w:p>
        </w:tc>
      </w:tr>
    </w:tbl>
    <w:p>
      <w:pPr>
        <w:keepLines/>
        <w:spacing w:before="200" w:after="160" w:line="240" w:lineRule="auto"/>
      </w:pPr>
      <w:hyperlink r:id="rId54">
        <w:r>
          <w:drawing>
            <wp:inline xmlns:a="http://schemas.openxmlformats.org/drawingml/2006/main" xmlns:pic="http://schemas.openxmlformats.org/drawingml/2006/picture">
              <wp:extent cx="6530399" cy="528636"/>
              <wp:docPr id="9046" name="Picture 9046"/>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F4858"/>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F4858"/>
              </w:pBdr>
            </w:pPr>
            <w:r>
              <w:rPr>
                <w:spacing w:val="0"/>
                <w:sz w:val="4"/>
                <w:szCs w:val="4"/>
              </w:rPr>
              <w:t xml:space="preserve"/>
            </w:r>
          </w:p>
        </w:tc>
      </w:tr>
    </w:tbl>
    <w:p>
      <w:bookmarkStart w:id="51" w:name="toc_8"/>
      <w:pPr>
        <w:pStyle w:val="Heading1"/>
        <w:spacing w:before="440" w:after="200"/>
      </w:pPr>
      <w:r>
        <w:t>Operations Plan</w:t>
      </w:r>
      <w:bookmarkEnd w:id="51"/>
    </w:p>
    <w:p>
      <w:pPr>
        <w:spacing w:after="360"/>
        <w:ind w:right="9490"/>
        <w:pBdr>
          <w:bottom w:val="single" w:sz="18" w:space="0" w:color="2F4858"/>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Location and Facilities</w:t>
      </w:r>
    </w:p>
    <w:p>
      <w:pPr>
        <w:spacing w:after="140" w:line="276" w:lineRule="auto"/>
      </w:pPr>
      <w:r>
        <w:rPr>
          <w:rFonts w:ascii="Roboto" w:hAnsi="Roboto" w:cs="Roboto"/>
          <w:color w:val="0A0A0A"/>
          <w:sz w:val="22"/>
          <w:szCs w:val="22"/>
        </w:rPr>
        <w:t xml:space="preserve">8.5  Milestones &amp; Timeline</w:t>
      </w:r>
    </w:p>
    <w:p>
      <w:pPr>
        <w:spacing w:after="140" w:line="276" w:lineRule="auto"/>
      </w:pPr>
      <w:r>
        <w:rPr>
          <w:rFonts w:ascii="Roboto" w:hAnsi="Roboto" w:cs="Roboto"/>
          <w:color w:val="0A0A0A"/>
          <w:sz w:val="22"/>
          <w:szCs w:val="22"/>
        </w:rPr>
        <w:t xml:space="preserve">8.6  Licensing &amp; Trust Accounting</w:t>
      </w:r>
      <w:r>
        <w:br w:type="page"/>
      </w:r>
    </w:p>
    <w:p>
      <w:bookmarkStart w:id="52" w:name="toc_8_1"/>
      <w:pPr>
        <w:pStyle w:val="Heading2"/>
      </w:pPr>
      <w:r>
        <w:t xml:space="preserve">8.1  </w:t>
      </w:r>
      <w:r>
        <w:t>Daily Operations</w:t>
      </w:r>
      <w:bookmarkEnd w:id="52"/>
    </w:p>
    <w:p>
      <w:r>
        <w:rPr>
          <w:b w:val="0"/>
          <w:i w:val="0"/>
        </w:rPr>
        <w:t>The month runs on a fixed cycle. Rent is due on the 1st and paid online into the trust account; late notices go out on the 6th; owner statements and net rent are released by the 10th; and the trust and deposit accounts are reconciled before the month closes. Around that cycle, each day starts with the work order queue and the showing calendar.</w:t>
      </w:r>
    </w:p>
    <w:p>
      <w:r>
        <w:rPr>
          <w:b w:val="0"/>
          <w:i w:val="0"/>
        </w:rPr>
        <w:t>Jordan Pierce triages new maintenance requests each morning, sending urgent work, such as a failed air conditioner or a leak, to a vendor within the hour and routine work within a day. Vendors are held to a 24 hour response on urgent orders and 72 hours on routine ones. Afternoons go to showings, move-in and move-out inspections and the yearly mid-lease visits, routed so that one trip covers homes in the same part of the metro.</w:t>
      </w:r>
    </w:p>
    <w:p>
      <w:r>
        <w:rPr>
          <w:b w:val="0"/>
          <w:i w:val="0"/>
        </w:rPr>
        <w:t>Hurricane season, from June to November, adds a routine of its own. Before it starts, every home's file holds the owner's insurer and policy number, and vendors agree which homes they will reach first. When a storm is forecast, tenants receive a checklist and the office photographs the exterior of each home it can reach. Afterwards, every home is checked within 48 hours, and damage is photographed and documented for the owner's claim before any repair begins.</w:t>
      </w:r>
    </w:p>
    <w:p>
      <w:bookmarkStart w:id="53" w:name="toc_8_2"/>
      <w:pPr>
        <w:pStyle w:val="Heading2"/>
      </w:pPr>
      <w:r>
        <w:t xml:space="preserve">8.2  </w:t>
      </w:r>
      <w:r>
        <w:t>Working Hours</w:t>
      </w:r>
      <w:bookmarkEnd w:id="53"/>
    </w:p>
    <w:p>
      <w:r>
        <w:rPr>
          <w:b w:val="0"/>
          <w:i w:val="0"/>
        </w:rPr>
        <w:t>The office is open Monday to Friday, 8:30 am to 5:30 pm, when owners, vendors and tenants expect to reach a manager. Showings also run on Saturdays from 9 am to 1 pm, because most working applicants view homes at the weekend, and self-guided showings through lockboxes run from 8 am to 8 pm every day. An emergency maintenance line is answered around the clock by the team on a weekly rotation, since a burst pipe or a storm does not wait for office hours.</w:t>
      </w:r>
    </w:p>
    <w:p>
      <w:bookmarkStart w:id="54" w:name="toc_8_3"/>
      <w:pPr>
        <w:pStyle w:val="Heading2"/>
      </w:pPr>
      <w:r>
        <w:t xml:space="preserve">8.3  </w:t>
      </w:r>
      <w:r>
        <w:t>Staffing &amp; Training</w:t>
      </w:r>
      <w:bookmarkEnd w:id="54"/>
    </w:p>
    <w:p>
      <w:r>
        <w:rPr>
          <w:b w:val="0"/>
          <w:i w:val="0"/>
        </w:rPr>
        <w:t>The firm opens with three people: Marcus Whitfield as broker, Renee Calloway on operations and trust accounting, part-time in the first year, and Jordan Pierce as leasing and maintenance coordinator. Jordan holds a Florida sales associate licence and works under Marcus's supervision. Everyone completes fair housing training each year, and both licensees keep up their continuing education. A portfolio manager joins in 2028 so that no one carries more than about 50 doors.</w:t>
      </w:r>
    </w:p>
    <w:p>
      <w:bookmarkStart w:id="55" w:name="toc_8_4"/>
      <w:pPr>
        <w:pStyle w:val="Heading2"/>
      </w:pPr>
      <w:r>
        <w:t xml:space="preserve">8.4  </w:t>
      </w:r>
      <w:r>
        <w:t>Location and Facilities</w:t>
      </w:r>
      <w:bookmarkEnd w:id="55"/>
    </w:p>
    <w:p>
      <w:r>
        <w:rPr>
          <w:b w:val="0"/>
          <w:i w:val="0"/>
        </w:rPr>
        <w:t>Keelridge leases about 750 square feet on Jacksonville's Southside at $1,500 a month, near the Interstate 95 and 295 corridors, which puts most of Duval County and the suburbs of St. Johns and Clay counties within a 30 minute drive. The office holds three desks, a meeting table and a locked key cabinet. What matters is the time it takes to reach a home, which is why the office is central rather than in the downtown core.</w:t>
      </w:r>
    </w:p>
    <w:p>
      <w:bookmarkStart w:id="56" w:name="toc_8_5"/>
      <w:pPr>
        <w:pStyle w:val="Heading2"/>
      </w:pPr>
      <w:r>
        <w:t xml:space="preserve">8.5  </w:t>
      </w:r>
      <w:r>
        <w:t>Milestones &amp; Timeline</w:t>
      </w:r>
      <w:bookmarkEnd w:id="56"/>
    </w:p>
    <w:p>
      <w:r>
        <w:rPr>
          <w:b w:val="0"/>
          <w:i w:val="0"/>
        </w:rPr>
        <w:t>The brokerage is registered and the office leased in November 2026, the trust accounts and software are live in December, and the firm opens in January 2027 with about 48 doors. The book passes break-even during the second half of the first year and reaches 160 doors by December 2027, and a portfolio manager joins in 2028.</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Nov 2026</w:t>
            </w:r>
          </w:p>
          <w:p>
            <w:pPr>
              <w:spacing w:before="0" w:after="0" w:line="276" w:lineRule="auto"/>
              <w:jc w:val="right"/>
            </w:pPr>
            <w:r>
              <w:rPr>
                <w:rFonts w:ascii="Roboto" w:hAnsi="Roboto" w:cs="Roboto"/>
                <w:b w:val="0"/>
                <w:i w:val="0"/>
                <w:color w:val="2F4858"/>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7"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Brokerage and office registered</w:t>
            </w:r>
          </w:p>
          <w:p>
            <w:pPr>
              <w:spacing w:before="0" w:after="79" w:line="288" w:lineRule="auto"/>
            </w:pPr>
            <w:r>
              <w:rPr>
                <w:rFonts w:ascii="Roboto" w:hAnsi="Roboto" w:cs="Roboto"/>
                <w:b w:val="0"/>
                <w:i w:val="0"/>
                <w:color w:val="2F4858"/>
                <w:spacing w:val="0"/>
                <w:sz w:val="18"/>
              </w:rPr>
              <w:t>Licence, entity and office in place</w:t>
            </w:r>
          </w:p>
          <w:p>
            <w:pPr>
              <w:spacing w:before="0" w:after="0" w:line="330" w:lineRule="exact"/>
            </w:pPr>
            <w:r>
              <w:rPr>
                <w:rFonts w:ascii="Roboto" w:hAnsi="Roboto" w:cs="Roboto"/>
                <w:b w:val="0"/>
                <w:i w:val="0"/>
                <w:color w:val="0A0A0A"/>
                <w:sz w:val="22"/>
              </w:rPr>
              <w:t>Keelridge registers its brokerage office with the state, signs a lease on about 750 square feet and opens its operating account.</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Dec 2026</w:t>
            </w:r>
          </w:p>
          <w:p>
            <w:pPr>
              <w:spacing w:before="0" w:after="0" w:line="276" w:lineRule="auto"/>
              <w:jc w:val="right"/>
            </w:pPr>
            <w:r>
              <w:rPr>
                <w:rFonts w:ascii="Roboto" w:hAnsi="Roboto" w:cs="Roboto"/>
                <w:b w:val="0"/>
                <w:i w:val="0"/>
                <w:color w:val="2F4858"/>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8"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Trust accounts and software live</w:t>
            </w:r>
          </w:p>
          <w:p>
            <w:pPr>
              <w:spacing w:before="0" w:after="79" w:line="288" w:lineRule="auto"/>
            </w:pPr>
            <w:r>
              <w:rPr>
                <w:rFonts w:ascii="Roboto" w:hAnsi="Roboto" w:cs="Roboto"/>
                <w:b w:val="0"/>
                <w:i w:val="0"/>
                <w:color w:val="2F4858"/>
                <w:spacing w:val="0"/>
                <w:sz w:val="18"/>
              </w:rPr>
              <w:t>Ready to hold owners' rent and deposits</w:t>
            </w:r>
          </w:p>
          <w:p>
            <w:pPr>
              <w:spacing w:before="0" w:after="0" w:line="330" w:lineRule="exact"/>
            </w:pPr>
            <w:r>
              <w:rPr>
                <w:rFonts w:ascii="Roboto" w:hAnsi="Roboto" w:cs="Roboto"/>
                <w:b w:val="0"/>
                <w:i w:val="0"/>
                <w:color w:val="0A0A0A"/>
                <w:sz w:val="22"/>
              </w:rPr>
              <w:t>Separate trust and security deposit accounts are opened and the management software, owner portal and lease templates are configured.</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2F4858"/>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9"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Opening with about 48 doors</w:t>
            </w:r>
          </w:p>
          <w:p>
            <w:pPr>
              <w:spacing w:before="0" w:after="79" w:line="288" w:lineRule="auto"/>
            </w:pPr>
            <w:r>
              <w:rPr>
                <w:rFonts w:ascii="Roboto" w:hAnsi="Roboto" w:cs="Roboto"/>
                <w:b w:val="0"/>
                <w:i w:val="0"/>
                <w:color w:val="2F4858"/>
                <w:spacing w:val="0"/>
                <w:sz w:val="18"/>
              </w:rPr>
              <w:t>First owners under agreement</w:t>
            </w:r>
          </w:p>
          <w:p>
            <w:pPr>
              <w:spacing w:before="0" w:after="0" w:line="330" w:lineRule="exact"/>
            </w:pPr>
            <w:r>
              <w:rPr>
                <w:rFonts w:ascii="Roboto" w:hAnsi="Roboto" w:cs="Roboto"/>
                <w:b w:val="0"/>
                <w:i w:val="0"/>
                <w:color w:val="0A0A0A"/>
                <w:sz w:val="22"/>
              </w:rPr>
              <w:t>Keelridge opens with the owners the founder has signed before launch, and Jordan Pierce joins as leasing and maintenance coordinator.</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Aug 2027</w:t>
            </w:r>
          </w:p>
          <w:p>
            <w:pPr>
              <w:spacing w:before="0" w:after="0" w:line="276" w:lineRule="auto"/>
              <w:jc w:val="right"/>
            </w:pPr>
            <w:r>
              <w:rPr>
                <w:rFonts w:ascii="Roboto" w:hAnsi="Roboto" w:cs="Roboto"/>
                <w:b w:val="0"/>
                <w:i w:val="0"/>
                <w:color w:val="2F4858"/>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0"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About 120 doors under management</w:t>
            </w:r>
          </w:p>
          <w:p>
            <w:pPr>
              <w:spacing w:before="0" w:after="79" w:line="288" w:lineRule="auto"/>
            </w:pPr>
            <w:r>
              <w:rPr>
                <w:rFonts w:ascii="Roboto" w:hAnsi="Roboto" w:cs="Roboto"/>
                <w:b w:val="0"/>
                <w:i w:val="0"/>
                <w:color w:val="2F4858"/>
                <w:spacing w:val="0"/>
                <w:sz w:val="18"/>
              </w:rPr>
              <w:t>Past break-even</w:t>
            </w:r>
          </w:p>
          <w:p>
            <w:pPr>
              <w:spacing w:before="0" w:after="0" w:line="330" w:lineRule="exact"/>
            </w:pPr>
            <w:r>
              <w:rPr>
                <w:rFonts w:ascii="Roboto" w:hAnsi="Roboto" w:cs="Roboto"/>
                <w:b w:val="0"/>
                <w:i w:val="0"/>
                <w:color w:val="0A0A0A"/>
                <w:sz w:val="22"/>
              </w:rPr>
              <w:t>About 10 new doors a month from referrals and search carry the book past the 111 door break-even level after the summer leasing season.</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Dec 2027</w:t>
            </w:r>
          </w:p>
          <w:p>
            <w:pPr>
              <w:spacing w:before="0" w:after="0" w:line="276" w:lineRule="auto"/>
              <w:jc w:val="right"/>
            </w:pPr>
            <w:r>
              <w:rPr>
                <w:rFonts w:ascii="Roboto" w:hAnsi="Roboto" w:cs="Roboto"/>
                <w:b w:val="0"/>
                <w:i w:val="0"/>
                <w:color w:val="2F4858"/>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1"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160 doors under management</w:t>
            </w:r>
          </w:p>
          <w:p>
            <w:pPr>
              <w:spacing w:before="0" w:after="79" w:line="288" w:lineRule="auto"/>
            </w:pPr>
            <w:r>
              <w:rPr>
                <w:rFonts w:ascii="Roboto" w:hAnsi="Roboto" w:cs="Roboto"/>
                <w:b w:val="0"/>
                <w:i w:val="0"/>
                <w:color w:val="2F4858"/>
                <w:spacing w:val="0"/>
                <w:sz w:val="18"/>
              </w:rPr>
              <w:t>First-year target reached</w:t>
            </w:r>
          </w:p>
          <w:p>
            <w:pPr>
              <w:spacing w:before="0" w:after="0" w:line="330" w:lineRule="exact"/>
            </w:pPr>
            <w:r>
              <w:rPr>
                <w:rFonts w:ascii="Roboto" w:hAnsi="Roboto" w:cs="Roboto"/>
                <w:b w:val="0"/>
                <w:i w:val="0"/>
                <w:color w:val="0A0A0A"/>
                <w:sz w:val="22"/>
              </w:rPr>
              <w:t>The book reaches 160 doors, the level the three-person team is staffed for.</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Mar 2028</w:t>
            </w:r>
          </w:p>
          <w:p>
            <w:pPr>
              <w:spacing w:before="0" w:after="0" w:line="276" w:lineRule="auto"/>
              <w:jc w:val="right"/>
            </w:pPr>
            <w:r>
              <w:rPr>
                <w:rFonts w:ascii="Roboto" w:hAnsi="Roboto" w:cs="Roboto"/>
                <w:b w:val="0"/>
                <w:i w:val="0"/>
                <w:color w:val="2F4858"/>
                <w:spacing w:val="0"/>
                <w:sz w:val="17"/>
              </w:rPr>
              <w:t>Expansion</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2"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Portfolio manager hired</w:t>
            </w:r>
          </w:p>
          <w:p>
            <w:pPr>
              <w:spacing w:before="0" w:after="79" w:line="288" w:lineRule="auto"/>
            </w:pPr>
            <w:r>
              <w:rPr>
                <w:rFonts w:ascii="Roboto" w:hAnsi="Roboto" w:cs="Roboto"/>
                <w:b w:val="0"/>
                <w:i w:val="0"/>
                <w:color w:val="2F4858"/>
                <w:spacing w:val="0"/>
                <w:sz w:val="18"/>
              </w:rPr>
              <w:t>Second manager for a growing book</w:t>
            </w:r>
          </w:p>
          <w:p>
            <w:pPr>
              <w:spacing w:before="0" w:after="0" w:line="330" w:lineRule="exact"/>
            </w:pPr>
            <w:r>
              <w:rPr>
                <w:rFonts w:ascii="Roboto" w:hAnsi="Roboto" w:cs="Roboto"/>
                <w:b w:val="0"/>
                <w:i w:val="0"/>
                <w:color w:val="0A0A0A"/>
                <w:sz w:val="22"/>
              </w:rPr>
              <w:t>A second licensed manager is hired so the book can keep growing without passing 50 doors per staff member.</w:t>
            </w:r>
          </w:p>
        </w:tc>
      </w:tr>
    </w:tbl>
    <w:p>
      <w:pPr>
        <w:spacing w:before="0" w:after="0" w:line="80" w:lineRule="exact"/>
      </w:pPr>
    </w:p>
    <w:p>
      <w:bookmarkStart w:id="57" w:name="toc_8_6"/>
      <w:pPr>
        <w:pStyle w:val="Heading2"/>
      </w:pPr>
      <w:r>
        <w:t xml:space="preserve">8.6  </w:t>
      </w:r>
      <w:r>
        <w:t>Licensing &amp; Trust Accounting</w:t>
      </w:r>
      <w:bookmarkEnd w:id="57"/>
    </w:p>
    <w:p>
      <w:r>
        <w:rPr>
          <w:b w:val="0"/>
          <w:i w:val="0"/>
        </w:rPr>
        <w:t>Managing rentals for others for pay is real estate brokerage in Florida, so Keelridge operates under Marcus Whitfield's broker licence and registers its office with the state. Only licensees show homes, negotiate leases or quote rents; the operations co-owner handles money and records, not leasing.</w:t>
      </w:r>
    </w:p>
    <w:p>
      <w:r>
        <w:rPr>
          <w:b w:val="0"/>
          <w:i w:val="0"/>
        </w:rPr>
        <w:t>Two kinds of other people's money pass through the firm, and neither touches its operating account. Owners' rents go into a trust account, from which Keelridge draws only its stated fees before paying owners their net. Tenants' security deposits sit in a separate Florida deposit account, as Florida law requires, with written notice to each tenant within 30 days of how the deposit is held, and a return within 15 days or a claim within 30 at the end of the tenancy.</w:t>
      </w:r>
    </w:p>
    <w:p>
      <w:r>
        <w:rPr>
          <w:b w:val="0"/>
          <w:i w:val="0"/>
        </w:rPr>
        <w:t>Both accounts are reconciled three ways every month: the bank statement against the software balance against the sum of every owner and tenant ledger. Renee prepares the reconciliation, Marcus signs it, and the firm's CPA reviews it monthly. No company money is ever left in the trust account, and no owner's ledger is allowed to run negative.</w:t>
      </w:r>
    </w:p>
    <w:p>
      <w:r>
        <w:rPr>
          <w:b w:val="0"/>
          <w:i w:val="0"/>
        </w:rPr>
        <w:t>The records behind those accounts are kept for every owner and every home: the management agreement, each lease and renewal, deposit notices, inspection photographs, work orders and invoices. They sit in the management software, so any figure on an owner's statement can be traced back to the bank and to the document behind it. The same records produce each owner's year-end statement and tax forms.</w:t>
      </w:r>
    </w:p>
    <w:p>
      <w:r>
        <w:rPr>
          <w:b w:val="0"/>
          <w:i w:val="0"/>
        </w:rPr>
        <w:t>The firm carries errors and omissions and general liability insurance for the risks a manager actually faces, such as a missed repair, a disputed deposit or a screening decision challenged later. Every vendor on the bench must show a current licence and insurance before a first job, and those certificates are checked again each year.</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F4858"/>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F4858"/>
              </w:pBdr>
            </w:pPr>
            <w:r>
              <w:rPr>
                <w:spacing w:val="0"/>
                <w:sz w:val="4"/>
                <w:szCs w:val="4"/>
              </w:rPr>
              <w:t xml:space="preserve"/>
            </w:r>
          </w:p>
        </w:tc>
      </w:tr>
    </w:tbl>
    <w:p>
      <w:bookmarkStart w:id="58" w:name="toc_9"/>
      <w:pPr>
        <w:pStyle w:val="Heading1"/>
        <w:spacing w:before="440" w:after="200"/>
      </w:pPr>
      <w:r>
        <w:t>Management Team</w:t>
      </w:r>
      <w:bookmarkEnd w:id="58"/>
    </w:p>
    <w:p>
      <w:pPr>
        <w:spacing w:after="360"/>
        <w:ind w:right="9490"/>
        <w:pBdr>
          <w:bottom w:val="single" w:sz="18" w:space="0" w:color="2F4858"/>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9" w:name="toc_9_1"/>
      <w:pPr>
        <w:pStyle w:val="Heading2"/>
      </w:pPr>
      <w:r>
        <w:t xml:space="preserve">9.1  </w:t>
      </w:r>
      <w:r>
        <w:t>Key Members</w:t>
      </w:r>
      <w:bookmarkEnd w:id="59"/>
    </w:p>
    <w:p>
      <w:r>
        <w:rPr>
          <w:b w:val="0"/>
          <w:i w:val="0"/>
        </w:rPr>
        <w:t>The founding broker is answerable for growth and for every lease the firm signs. He is measured on doors under management, owner retention and the number of days homes stay vacant.</w:t>
      </w:r>
    </w:p>
    <w:p>
      <w:r>
        <w:rPr>
          <w:b w:val="0"/>
          <w:i w:val="0"/>
        </w:rPr>
        <w:t>Operations and trust accounting is answerable for the owners' money: reconciliations that balance to the cent each month, statements released by the 10th, and every Florida deposit deadline met.</w:t>
      </w:r>
    </w:p>
    <w:p>
      <w:r>
        <w:rPr>
          <w:b w:val="0"/>
          <w:i w:val="0"/>
        </w:rPr>
        <w:t>The leasing and maintenance coordinator is answerable for the homes themselves, measured on days on market, vendor response times and the share of tenants who renew.</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3" name="Picture 9053"/>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2F4858"/>
                <w:spacing w:val="0"/>
                <w:sz w:val="28"/>
              </w:rPr>
              <w:t>Marcus Whitfield</w:t>
            </w:r>
          </w:p>
          <w:p>
            <w:pPr>
              <w:spacing w:before="0" w:after="0" w:line="288" w:lineRule="auto"/>
            </w:pPr>
            <w:r>
              <w:rPr>
                <w:rFonts w:ascii="Roboto" w:hAnsi="Roboto" w:cs="Roboto"/>
                <w:b w:val="0"/>
                <w:i w:val="0"/>
                <w:color w:val="595959"/>
                <w:spacing w:val="0"/>
                <w:sz w:val="20"/>
              </w:rPr>
              <w:t xml:space="preserve">Founder &amp; Broker · </w:t>
            </w:r>
            <w:hyperlink r:id="rId57">
              <w:r>
                <w:rPr>
                  <w:rFonts w:ascii="Roboto" w:hAnsi="Roboto" w:cs="Roboto"/>
                  <w:color w:val="2F4858"/>
                  <w:spacing w:val="0"/>
                  <w:sz w:val="20"/>
                  <w:szCs w:val="20"/>
                  <w:u w:val="single"/>
                </w:rPr>
                <w:t xml:space="preserve">marcus@keelridgepropertymanagement.example</w:t>
              </w:r>
            </w:hyperlink>
          </w:p>
          <w:p>
            <w:pPr>
              <w:spacing w:before="125" w:after="0" w:line="312" w:lineRule="auto"/>
            </w:pPr>
            <w:r>
              <w:rPr>
                <w:rFonts w:ascii="Roboto" w:hAnsi="Roboto" w:cs="Roboto"/>
                <w:b w:val="0"/>
                <w:i w:val="0"/>
                <w:color w:val="0A0A0A"/>
                <w:spacing w:val="0"/>
                <w:sz w:val="20"/>
              </w:rPr>
              <w:t>A Florida real estate broker with nine years of leasing and managing single-family rentals in Jacksonville.</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4" name="Picture 9054"/>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2F4858"/>
                <w:spacing w:val="0"/>
                <w:sz w:val="28"/>
              </w:rPr>
              <w:t>Renee Calloway</w:t>
            </w:r>
          </w:p>
          <w:p>
            <w:pPr>
              <w:spacing w:before="0" w:after="0" w:line="288" w:lineRule="auto"/>
            </w:pPr>
            <w:r>
              <w:rPr>
                <w:rFonts w:ascii="Roboto" w:hAnsi="Roboto" w:cs="Roboto"/>
                <w:b w:val="0"/>
                <w:i w:val="0"/>
                <w:color w:val="595959"/>
                <w:spacing w:val="0"/>
                <w:sz w:val="20"/>
              </w:rPr>
              <w:t xml:space="preserve">Co-Owner, Operations &amp; Trust Accounting · </w:t>
            </w:r>
            <w:hyperlink r:id="rId59">
              <w:r>
                <w:rPr>
                  <w:rFonts w:ascii="Roboto" w:hAnsi="Roboto" w:cs="Roboto"/>
                  <w:color w:val="2F4858"/>
                  <w:spacing w:val="0"/>
                  <w:sz w:val="20"/>
                  <w:szCs w:val="20"/>
                  <w:u w:val="single"/>
                </w:rPr>
                <w:t xml:space="preserve">renee@keelridgepropertymanagement.example</w:t>
              </w:r>
            </w:hyperlink>
          </w:p>
          <w:p>
            <w:pPr>
              <w:spacing w:before="125" w:after="0" w:line="312" w:lineRule="auto"/>
            </w:pPr>
            <w:r>
              <w:rPr>
                <w:rFonts w:ascii="Roboto" w:hAnsi="Roboto" w:cs="Roboto"/>
                <w:b w:val="0"/>
                <w:i w:val="0"/>
                <w:color w:val="0A0A0A"/>
                <w:spacing w:val="0"/>
                <w:sz w:val="20"/>
              </w:rPr>
              <w:t>Six years as a bookkeeper for a residential management firm, reconciling trust accounts and preparing owner statements.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5" name="Picture 9055"/>
                  <wp:cNvGraphicFramePr>
                    <a:graphicFrameLocks noChangeAspect="1"/>
                  </wp:cNvGraphicFramePr>
                  <a:graphic>
                    <a:graphicData uri="http://schemas.openxmlformats.org/drawingml/2006/picture">
                      <pic:pic>
                        <pic:nvPicPr>
                          <pic:cNvPr id="0" name="image.jpg"/>
                          <pic:cNvPicPr/>
                        </pic:nvPicPr>
                        <pic:blipFill>
                          <a:blip r:embed="rId60"/>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2F4858"/>
                <w:spacing w:val="0"/>
                <w:sz w:val="28"/>
              </w:rPr>
              <w:t>Jordan Pierce</w:t>
            </w:r>
          </w:p>
          <w:p>
            <w:pPr>
              <w:spacing w:before="0" w:after="0" w:line="288" w:lineRule="auto"/>
            </w:pPr>
            <w:r>
              <w:rPr>
                <w:rFonts w:ascii="Roboto" w:hAnsi="Roboto" w:cs="Roboto"/>
                <w:b w:val="0"/>
                <w:i w:val="0"/>
                <w:color w:val="595959"/>
                <w:spacing w:val="0"/>
                <w:sz w:val="20"/>
              </w:rPr>
              <w:t xml:space="preserve">Leasing &amp; Maintenance Coordinator · </w:t>
            </w:r>
            <w:hyperlink r:id="rId61">
              <w:r>
                <w:rPr>
                  <w:rFonts w:ascii="Roboto" w:hAnsi="Roboto" w:cs="Roboto"/>
                  <w:color w:val="2F4858"/>
                  <w:spacing w:val="0"/>
                  <w:sz w:val="20"/>
                  <w:szCs w:val="20"/>
                  <w:u w:val="single"/>
                </w:rPr>
                <w:t xml:space="preserve">jordan@keelridgepropertymanagement.example</w:t>
              </w:r>
            </w:hyperlink>
          </w:p>
          <w:p>
            <w:pPr>
              <w:spacing w:before="125" w:after="0" w:line="312" w:lineRule="auto"/>
            </w:pPr>
            <w:r>
              <w:rPr>
                <w:rFonts w:ascii="Roboto" w:hAnsi="Roboto" w:cs="Roboto"/>
                <w:b w:val="0"/>
                <w:i w:val="0"/>
                <w:color w:val="0A0A0A"/>
                <w:spacing w:val="0"/>
                <w:sz w:val="20"/>
              </w:rPr>
              <w:t>A licensed Florida sales associate with three years of leasing and work order coordination for rental homes.</w:t>
            </w:r>
          </w:p>
        </w:tc>
      </w:tr>
    </w:tbl>
    <w:p>
      <w:pPr>
        <w:spacing w:before="0" w:after="0" w:line="23" w:lineRule="exact"/>
      </w:pPr>
    </w:p>
    <w:p>
      <w:bookmarkStart w:id="60" w:name="toc_9_2"/>
      <w:pPr>
        <w:pStyle w:val="Heading2"/>
      </w:pPr>
      <w:r>
        <w:t xml:space="preserve">9.2  </w:t>
      </w:r>
      <w:r>
        <w:t>Organization Chart</w:t>
      </w:r>
      <w:bookmarkEnd w:id="60"/>
    </w:p>
    <w:p>
      <w:r>
        <w:rPr>
          <w:b w:val="0"/>
          <w:i w:val="0"/>
        </w:rPr>
        <w:t>Below the chart, vendors take work orders from the coordinator and invoice through operations, so no one approves and pays the same bill. The portfolio manager hired in 2028 reports to the broker and takes a share of the book.</w:t>
      </w:r>
    </w:p>
    <w:p>
      <w:pPr>
        <w:spacing w:before="0" w:after="397" w:line="240" w:lineRule="auto"/>
        <w:jc w:val="center"/>
      </w:pPr>
      <w:r>
        <w:drawing>
          <wp:inline xmlns:a="http://schemas.openxmlformats.org/drawingml/2006/main" xmlns:pic="http://schemas.openxmlformats.org/drawingml/2006/picture">
            <wp:extent cx="4562474" cy="1809750"/>
            <wp:docPr id="9056" name="Picture 9056"/>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4562474" cy="1809750"/>
                    </a:xfrm>
                    <a:prstGeom prst="rect"/>
                  </pic:spPr>
                </pic:pic>
              </a:graphicData>
            </a:graphic>
          </wp:inline>
        </w:drawing>
      </w:r>
    </w:p>
    <w:p>
      <w:bookmarkStart w:id="61" w:name="toc_9_3"/>
      <w:pPr>
        <w:pStyle w:val="Heading2"/>
      </w:pPr>
      <w:r>
        <w:t xml:space="preserve">9.3  </w:t>
      </w:r>
      <w:r>
        <w:t>Advisory Board Members</w:t>
      </w:r>
      <w:bookmarkEnd w:id="61"/>
    </w:p>
    <w:p>
      <w:r>
        <w:rPr>
          <w:b w:val="0"/>
          <w:i w:val="0"/>
        </w:rPr>
        <w:t>Keelridge draws on three outside advisers rather than a formal board. A Jacksonville real estate attorney reviews the management agreement and lease forms each year and handles any eviction. A CPA reviews the trust account reconciliations monthly and prepares the firm's taxes. An independent insurance broker sets the errors and omissions and liability cover, and advises owners on landlord policies as Florida premiums change.</w:t>
      </w:r>
    </w:p>
    <w:p>
      <w:r>
        <w:rPr>
          <w:b w:val="0"/>
          <w:i w:val="0"/>
        </w:rPr>
        <w:t>The three meet the owners twice a year to review the firm's forms, its trust account controls and its insurance against the size of the book. Their role is advice, not management: decisions about owners, homes and staff stay with the broker.</w:t>
      </w:r>
    </w:p>
    <w:p>
      <w:bookmarkStart w:id="62" w:name="toc_9_3_1"/>
      <w:pPr>
        <w:pStyle w:val="Heading2"/>
      </w:pPr>
      <w:r>
        <w:t xml:space="preserve">9.3.1  </w:t>
      </w:r>
      <w:r>
        <w:t>Hiring Plan</w:t>
      </w:r>
      <w:bookmarkEnd w:id="6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1</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Brokerage &amp; Leadership</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Operations &amp; Trust Accounting</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Leasing &amp; Maintenance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Property Management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keepLines/>
        <w:spacing w:before="200" w:after="160" w:line="240" w:lineRule="auto"/>
      </w:pPr>
      <w:hyperlink r:id="rId64">
        <w:r>
          <w:drawing>
            <wp:inline xmlns:a="http://schemas.openxmlformats.org/drawingml/2006/main" xmlns:pic="http://schemas.openxmlformats.org/drawingml/2006/picture">
              <wp:extent cx="6530399" cy="519139"/>
              <wp:docPr id="9057" name="Picture 9057"/>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F4858"/>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F4858"/>
              </w:pBdr>
            </w:pPr>
            <w:r>
              <w:rPr>
                <w:spacing w:val="0"/>
                <w:sz w:val="4"/>
                <w:szCs w:val="4"/>
              </w:rPr>
              <w:t xml:space="preserve"/>
            </w:r>
          </w:p>
        </w:tc>
      </w:tr>
    </w:tbl>
    <w:p>
      <w:bookmarkStart w:id="63" w:name="toc_10"/>
      <w:pPr>
        <w:pStyle w:val="Heading1"/>
        <w:spacing w:before="440" w:after="200"/>
      </w:pPr>
      <w:r>
        <w:t>Financial Plan</w:t>
      </w:r>
      <w:bookmarkEnd w:id="63"/>
    </w:p>
    <w:p>
      <w:pPr>
        <w:spacing w:after="360"/>
        <w:ind w:right="9490"/>
        <w:pBdr>
          <w:bottom w:val="single" w:sz="18" w:space="0" w:color="2F4858"/>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4" w:name="toc_10_1"/>
      <w:pPr>
        <w:pStyle w:val="Heading2"/>
      </w:pPr>
      <w:r>
        <w:t xml:space="preserve">10.1  </w:t>
      </w:r>
      <w:r>
        <w:t>Key Assumptions</w:t>
      </w:r>
      <w:bookmarkEnd w:id="64"/>
    </w:p>
    <w:p>
      <w:r>
        <w:rPr>
          <w:b w:val="0"/>
          <w:i w:val="0"/>
        </w:rPr>
        <w:t>Revenue is built from the book of managed homes: doors under management, times the monthly fee per door, times twelve, plus leasing and other fees at 40% of management fees. The book reaches 160 doors at the end of the first year, opening at 30% of that and filling over twelve months. The fee per door is $150, a 9% management fee on a Jacksonville rental of about $1,665 a month, close to the national average fee of 8.49%. Revenue then grows 20% a year as the book keeps building. The first year earns less than a full book would, because the firm spends most of it signing owners.</w:t>
      </w:r>
    </w:p>
    <w:p>
      <w:r>
        <w:rPr>
          <w:b w:val="0"/>
          <w:i w:val="0"/>
        </w:rPr>
        <w:t>Gross margin is 86.0%, because cost of sales is per-door software, listings, screening and payment processing; staff are payroll below the gross line. Payroll is 42% of revenue, marketing 7%, and fixed costs include $1,500 a month for the office, $600 for technology and $900 for insurance, accounting and administration.</w:t>
      </w:r>
    </w:p>
    <w:p>
      <w:r>
        <w:rPr>
          <w:b w:val="0"/>
          <w:i w:val="0"/>
        </w:rPr>
        <w:t>On those assumptions, revenue grows from $262,080 in the first year to $314,496 and then $377,395. Net income rises from $30,250, an 11.5% margin, to $44,272 and $61,009, a 16.2% margin. Break-even revenue is $200,404, about 111 doors on the monthly fee alone, which the first year clears. The conservative scenario still leaves the third year with $41,720 of net income, and the upside reaches $87,061.</w:t>
      </w:r>
    </w:p>
    <w:p>
      <w:bookmarkStart w:id="65" w:name="toc_10_2"/>
      <w:pPr>
        <w:pStyle w:val="Heading2"/>
      </w:pPr>
      <w:r>
        <w:t xml:space="preserve">10.2  </w:t>
      </w:r>
      <w:r>
        <w:t>Capital Requirements and Use of Funds</w:t>
      </w:r>
      <w:bookmarkEnd w:id="65"/>
    </w:p>
    <w:p>
      <w:r>
        <w:rPr>
          <w:b w:val="0"/>
          <w:i w:val="0"/>
        </w:rPr>
        <w:t>Keelridge needs $59,500 to open, covering the office fit-out, equipment, software set-up, website, licensing and insurance, legal set-up, launch marketing and a working capital reserve. The two owners contribute $50,000 from their own savings, in proportion to their shares, and a $30,000 small business loan at 9.5% over five years funds the rest, with no outside equity. Profits are kept in the business rather than distributed, and the loan is repaid from operating cash flow over its five-year term. The working capital reserve inside the start-up costs carries payroll and fixed costs through the first months, while the book is still being signed.</w:t>
      </w:r>
    </w:p>
    <w:p>
      <w:bookmarkStart w:id="66" w:name="toc_10_2_1"/>
      <w:pPr>
        <w:pStyle w:val="Heading2"/>
      </w:pPr>
      <w:r>
        <w:t xml:space="preserve">10.2.1  </w:t>
      </w:r>
      <w:r>
        <w:t>Use of Funds</w:t>
      </w:r>
      <w:bookmarkEnd w:id="6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8" name="Picture 9058"/>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8" w:lineRule="auto"/>
            </w:pPr>
            <w:r>
              <w:rPr>
                <w:rFonts w:ascii="Segoe UI Symbol" w:hAnsi="Segoe UI Symbol" w:cs="Segoe UI Symbol"/>
                <w:b w:val="0"/>
                <w:i w:val="0"/>
                <w:color w:val="1C2B35"/>
                <w:spacing w:val="0"/>
                <w:sz w:val="24"/>
              </w:rPr>
              <w:t xml:space="preserve">●  </w:t>
            </w:r>
            <w:r>
              <w:rPr>
                <w:rFonts w:ascii="Roboto" w:hAnsi="Roboto" w:cs="Roboto"/>
                <w:b w:val="0"/>
                <w:i w:val="0"/>
                <w:color w:val="0A0A0A"/>
                <w:spacing w:val="0"/>
                <w:sz w:val="19"/>
              </w:rPr>
              <w:t>Office Furniture &amp; Fit-Out</w:t>
            </w:r>
            <w:r>
              <w:rPr>
                <w:rFonts w:ascii="Roboto Medium" w:hAnsi="Roboto Medium" w:cs="Roboto Medium"/>
                <w:b w:val="0"/>
                <w:i w:val="0"/>
                <w:color w:val="0A0A0A"/>
                <w:spacing w:val="0"/>
                <w:sz w:val="19"/>
              </w:rPr>
              <w:tab/>
              <w:t>10.1%</w:t>
            </w:r>
          </w:p>
          <w:p>
            <w:pPr>
              <w:tabs>
                <w:tab w:pos="6429" w:val="right"/>
              </w:tabs>
              <w:spacing w:before="0" w:after="113" w:line="288" w:lineRule="auto"/>
            </w:pPr>
            <w:r>
              <w:rPr>
                <w:rFonts w:ascii="Segoe UI Symbol" w:hAnsi="Segoe UI Symbol" w:cs="Segoe UI Symbol"/>
                <w:b w:val="0"/>
                <w:i w:val="0"/>
                <w:color w:val="2F4858"/>
                <w:spacing w:val="0"/>
                <w:sz w:val="24"/>
              </w:rPr>
              <w:t xml:space="preserve">●  </w:t>
            </w:r>
            <w:r>
              <w:rPr>
                <w:rFonts w:ascii="Roboto" w:hAnsi="Roboto" w:cs="Roboto"/>
                <w:b w:val="0"/>
                <w:i w:val="0"/>
                <w:color w:val="0A0A0A"/>
                <w:spacing w:val="0"/>
                <w:sz w:val="19"/>
              </w:rPr>
              <w:t>Computers, Cameras &amp; Lockboxes</w:t>
            </w:r>
            <w:r>
              <w:rPr>
                <w:rFonts w:ascii="Roboto Medium" w:hAnsi="Roboto Medium" w:cs="Roboto Medium"/>
                <w:b w:val="0"/>
                <w:i w:val="0"/>
                <w:color w:val="0A0A0A"/>
                <w:spacing w:val="0"/>
                <w:sz w:val="19"/>
              </w:rPr>
              <w:tab/>
              <w:t>10.9%</w:t>
            </w:r>
          </w:p>
          <w:p>
            <w:pPr>
              <w:tabs>
                <w:tab w:pos="6429" w:val="right"/>
              </w:tabs>
              <w:spacing w:before="0" w:after="113" w:line="288" w:lineRule="auto"/>
            </w:pPr>
            <w:r>
              <w:rPr>
                <w:rFonts w:ascii="Segoe UI Symbol" w:hAnsi="Segoe UI Symbol" w:cs="Segoe UI Symbol"/>
                <w:b w:val="0"/>
                <w:i w:val="0"/>
                <w:color w:val="5D707D"/>
                <w:spacing w:val="0"/>
                <w:sz w:val="24"/>
              </w:rPr>
              <w:t xml:space="preserve">●  </w:t>
            </w:r>
            <w:r>
              <w:rPr>
                <w:rFonts w:ascii="Roboto" w:hAnsi="Roboto" w:cs="Roboto"/>
                <w:b w:val="0"/>
                <w:i w:val="0"/>
                <w:color w:val="0A0A0A"/>
                <w:spacing w:val="0"/>
                <w:sz w:val="19"/>
              </w:rPr>
              <w:t>Software Set-Up &amp; Data Migration</w:t>
            </w:r>
            <w:r>
              <w:rPr>
                <w:rFonts w:ascii="Roboto Medium" w:hAnsi="Roboto Medium" w:cs="Roboto Medium"/>
                <w:b w:val="0"/>
                <w:i w:val="0"/>
                <w:color w:val="0A0A0A"/>
                <w:spacing w:val="0"/>
                <w:sz w:val="19"/>
              </w:rPr>
              <w:tab/>
              <w:t>5.0%</w:t>
            </w:r>
          </w:p>
          <w:p>
            <w:pPr>
              <w:tabs>
                <w:tab w:pos="6429" w:val="right"/>
              </w:tabs>
              <w:spacing w:before="0" w:after="113" w:line="288" w:lineRule="auto"/>
            </w:pPr>
            <w:r>
              <w:rPr>
                <w:rFonts w:ascii="Segoe UI Symbol" w:hAnsi="Segoe UI Symbol" w:cs="Segoe UI Symbol"/>
                <w:b w:val="0"/>
                <w:i w:val="0"/>
                <w:color w:val="86959E"/>
                <w:spacing w:val="0"/>
                <w:sz w:val="24"/>
              </w:rPr>
              <w:t xml:space="preserve">●  </w:t>
            </w:r>
            <w:r>
              <w:rPr>
                <w:rFonts w:ascii="Roboto" w:hAnsi="Roboto" w:cs="Roboto"/>
                <w:b w:val="0"/>
                <w:i w:val="0"/>
                <w:color w:val="0A0A0A"/>
                <w:spacing w:val="0"/>
                <w:sz w:val="19"/>
              </w:rPr>
              <w:t>Website &amp; Brand</w:t>
            </w:r>
            <w:r>
              <w:rPr>
                <w:rFonts w:ascii="Roboto Medium" w:hAnsi="Roboto Medium" w:cs="Roboto Medium"/>
                <w:b w:val="0"/>
                <w:i w:val="0"/>
                <w:color w:val="0A0A0A"/>
                <w:spacing w:val="0"/>
                <w:sz w:val="19"/>
              </w:rPr>
              <w:tab/>
              <w:t>8.4%</w:t>
            </w:r>
          </w:p>
          <w:p>
            <w:pPr>
              <w:tabs>
                <w:tab w:pos="6429" w:val="right"/>
              </w:tabs>
              <w:spacing w:before="0" w:after="113" w:line="288" w:lineRule="auto"/>
            </w:pPr>
            <w:r>
              <w:rPr>
                <w:rFonts w:ascii="Segoe UI Symbol" w:hAnsi="Segoe UI Symbol" w:cs="Segoe UI Symbol"/>
                <w:b w:val="0"/>
                <w:i w:val="0"/>
                <w:color w:val="ACB6BC"/>
                <w:spacing w:val="0"/>
                <w:sz w:val="24"/>
              </w:rPr>
              <w:t xml:space="preserve">●  </w:t>
            </w:r>
            <w:r>
              <w:rPr>
                <w:rFonts w:ascii="Roboto" w:hAnsi="Roboto" w:cs="Roboto"/>
                <w:b w:val="0"/>
                <w:i w:val="0"/>
                <w:color w:val="0A0A0A"/>
                <w:spacing w:val="0"/>
                <w:sz w:val="19"/>
              </w:rPr>
              <w:t>Licences, Registration &amp; Insurance</w:t>
            </w:r>
            <w:r>
              <w:rPr>
                <w:rFonts w:ascii="Roboto Medium" w:hAnsi="Roboto Medium" w:cs="Roboto Medium"/>
                <w:b w:val="0"/>
                <w:i w:val="0"/>
                <w:color w:val="0A0A0A"/>
                <w:spacing w:val="0"/>
                <w:sz w:val="19"/>
              </w:rPr>
              <w:tab/>
              <w:t>7.6%</w:t>
            </w:r>
          </w:p>
          <w:p>
            <w:pPr>
              <w:tabs>
                <w:tab w:pos="6429" w:val="right"/>
              </w:tabs>
              <w:spacing w:before="0" w:after="113" w:line="288" w:lineRule="auto"/>
            </w:pPr>
            <w:r>
              <w:rPr>
                <w:rFonts w:ascii="Segoe UI Symbol" w:hAnsi="Segoe UI Symbol" w:cs="Segoe UI Symbol"/>
                <w:b w:val="0"/>
                <w:i w:val="0"/>
                <w:color w:val="CDD3D7"/>
                <w:spacing w:val="0"/>
                <w:sz w:val="24"/>
              </w:rPr>
              <w:t xml:space="preserve">●  </w:t>
            </w:r>
            <w:r>
              <w:rPr>
                <w:rFonts w:ascii="Roboto" w:hAnsi="Roboto" w:cs="Roboto"/>
                <w:b w:val="0"/>
                <w:i w:val="0"/>
                <w:color w:val="0A0A0A"/>
                <w:spacing w:val="0"/>
                <w:sz w:val="19"/>
              </w:rPr>
              <w:t>Legal &amp; Accounting Set-Up</w:t>
            </w:r>
            <w:r>
              <w:rPr>
                <w:rFonts w:ascii="Roboto Medium" w:hAnsi="Roboto Medium" w:cs="Roboto Medium"/>
                <w:b w:val="0"/>
                <w:i w:val="0"/>
                <w:color w:val="0A0A0A"/>
                <w:spacing w:val="0"/>
                <w:sz w:val="19"/>
              </w:rPr>
              <w:tab/>
              <w:t>6.7%</w:t>
            </w:r>
          </w:p>
          <w:p>
            <w:pPr>
              <w:tabs>
                <w:tab w:pos="6429" w:val="right"/>
              </w:tabs>
              <w:spacing w:before="0" w:after="113" w:line="288" w:lineRule="auto"/>
            </w:pPr>
            <w:r>
              <w:rPr>
                <w:rFonts w:ascii="Segoe UI Symbol" w:hAnsi="Segoe UI Symbol" w:cs="Segoe UI Symbol"/>
                <w:b w:val="0"/>
                <w:i w:val="0"/>
                <w:color w:val="152027"/>
                <w:spacing w:val="0"/>
                <w:sz w:val="24"/>
              </w:rPr>
              <w:t xml:space="preserve">●  </w:t>
            </w:r>
            <w:r>
              <w:rPr>
                <w:rFonts w:ascii="Roboto" w:hAnsi="Roboto" w:cs="Roboto"/>
                <w:b w:val="0"/>
                <w:i w:val="0"/>
                <w:color w:val="0A0A0A"/>
                <w:spacing w:val="0"/>
                <w:sz w:val="19"/>
              </w:rPr>
              <w:t>Office Deposit &amp; First Month Rent</w:t>
            </w:r>
            <w:r>
              <w:rPr>
                <w:rFonts w:ascii="Roboto Medium" w:hAnsi="Roboto Medium" w:cs="Roboto Medium"/>
                <w:b w:val="0"/>
                <w:i w:val="0"/>
                <w:color w:val="0A0A0A"/>
                <w:spacing w:val="0"/>
                <w:sz w:val="19"/>
              </w:rPr>
              <w:tab/>
              <w:t>5.0%</w:t>
            </w:r>
          </w:p>
          <w:p>
            <w:pPr>
              <w:tabs>
                <w:tab w:pos="6429" w:val="right"/>
              </w:tabs>
              <w:spacing w:before="0" w:after="113" w:line="288" w:lineRule="auto"/>
            </w:pPr>
            <w:r>
              <w:rPr>
                <w:rFonts w:ascii="Segoe UI Symbol" w:hAnsi="Segoe UI Symbol" w:cs="Segoe UI Symbol"/>
                <w:b w:val="0"/>
                <w:i w:val="0"/>
                <w:color w:val="445A69"/>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12.6%</w:t>
            </w:r>
          </w:p>
          <w:p>
            <w:pPr>
              <w:tabs>
                <w:tab w:pos="6429" w:val="right"/>
              </w:tabs>
              <w:spacing w:before="0" w:after="113" w:line="288" w:lineRule="auto"/>
            </w:pPr>
            <w:r>
              <w:rPr>
                <w:rFonts w:ascii="Segoe UI Symbol" w:hAnsi="Segoe UI Symbol" w:cs="Segoe UI Symbol"/>
                <w:b w:val="0"/>
                <w:i w:val="0"/>
                <w:color w:val="1C2B35"/>
                <w:spacing w:val="0"/>
                <w:sz w:val="24"/>
              </w:rPr>
              <w:t xml:space="preserve">●  </w:t>
            </w:r>
            <w:r>
              <w:rPr>
                <w:rFonts w:ascii="Roboto" w:hAnsi="Roboto" w:cs="Roboto"/>
                <w:b w:val="0"/>
                <w:i w:val="0"/>
                <w:color w:val="0A0A0A"/>
                <w:spacing w:val="0"/>
                <w:sz w:val="19"/>
              </w:rPr>
              <w:t>Working Capital Reserve</w:t>
            </w:r>
            <w:r>
              <w:rPr>
                <w:rFonts w:ascii="Roboto Medium" w:hAnsi="Roboto Medium" w:cs="Roboto Medium"/>
                <w:b w:val="0"/>
                <w:i w:val="0"/>
                <w:color w:val="0A0A0A"/>
                <w:spacing w:val="0"/>
                <w:sz w:val="19"/>
              </w:rPr>
              <w:tab/>
              <w:t>33.6%</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Office Furniture &amp; Fit-Out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Computers, Cameras &amp; Lockboxes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Software Set-Up &amp; Data Migration</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Website &amp; Brand</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Licences, Registration &amp; Insurance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Legal &amp; Accounting Set-Up</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Office Deposit &amp; First Month Rent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$7,500.00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Working Capital Reserve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$20,000.00</w:t>
            </w:r>
          </w:p>
        </w:tc>
      </w:tr>
    </w:tbl>
    <w:p>
      <w:pPr>
        <w:spacing w:before="0" w:after="0" w:line="80" w:lineRule="exact"/>
      </w:pPr>
    </w:p>
    <w:p>
      <w:bookmarkStart w:id="67" w:name="toc_10_3"/>
      <w:pPr>
        <w:pStyle w:val="Heading2"/>
        <w:keepNext/>
        <w:pageBreakBefore/>
      </w:pPr>
      <w:r>
        <w:t>10.3  Income Statement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$262,080.00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$314,496.00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$377,395.20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$953,971.20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$36,691.20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$44,029.44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$52,835.33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$133,555.97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$36,691.20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$44,029.44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$52,835.33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$133,555.97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$225,388.80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$270,466.56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$324,559.87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$820,415.23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86.00%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$172,347.12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$199,616.54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$232,339.85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$604,303.51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$110,073.60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$132,088.32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$158,505.98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$400,667.90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$62,208.00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$67,449.60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$73,739.52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$203,397.12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$65.52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$78.62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$94.35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$238.49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$53,041.68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$70,850.02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$92,220.02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$216,111.72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$22,791.25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$26,577.61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$31,211.29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$80,580.15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$11,900.00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$12,528.99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$13,283.78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$37,712.77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$41,141.68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$58,321.03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$78,936.24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$178,398.95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$2,280.00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$1,710.00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$6,840.00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$38,291.68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$56,041.03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$77,226.24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$171,558.95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$8,041.25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$11,768.62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$16,217.51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$36,027.38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$231,829.57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$270,223.59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$316,386.47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$818,439.63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$30,250.43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$44,272.41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$61,008.73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$135,531.57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11.54%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14.08%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16.17%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14.21%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$30,250.43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$74,522.84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$30,250.43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$74,522.84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$135,531.57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$135,531.57</w:t>
            </w:r>
          </w:p>
        </w:tc>
      </w:tr>
    </w:tbl>
    <w:p>
      <w:pPr>
        <w:spacing w:before="0" w:after="0" w:line="23" w:lineRule="exact"/>
      </w:pPr>
    </w:p>
    <w:p>
      <w:bookmarkStart w:id="68" w:name="toc_10_4"/>
      <w:pPr>
        <w:pStyle w:val="Heading2"/>
        <w:keepNext/>
        <w:pageBreakBefore/>
      </w:pPr>
      <w:r>
        <w:t>10.4  Balance Sheet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$108,954.81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$148,613.11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$205,279.88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$205,279.88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$61,354.81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$110,397.14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$176,573.74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$176,573.74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$61,247.11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$110,267.90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$176,418.65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$176,418.65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$107.70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$129.24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$155.09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$155.09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$47,600.00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$38,215.97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$28,706.14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$28,706.14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$59,500.00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$62,644.96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$66,418.91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$66,418.91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$11,900.00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$24,428.99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$37,712.77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$37,712.77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$108,954.81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$148,613.11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$205,279.88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$205,279.88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$28,704.38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$24,090.27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$19,748.31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$19,748.31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$10,704.38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$12,090.27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$13,748.31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$13,748.31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$3,015.72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$3,618.86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$4,342.63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$4,342.63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$1,688.66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$2,471.41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$3,405.68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$3,405.68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$80,250.43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$124,522.84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$185,531.57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$185,531.57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$30,250.43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$74,522.84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$135,531.57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$135,531.57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9" w:name="toc_10_5"/>
      <w:pPr>
        <w:pStyle w:val="Heading2"/>
        <w:keepNext/>
        <w:pageBreakBefore/>
      </w:pPr>
      <w:r>
        <w:t>10.5  Cash Flow Statement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$261,906.78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$314,395.84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$377,275.00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$953,577.62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$215,159.67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$256,230.09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$301,350.30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$772,740.06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$95,883.48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$110,875.90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$125,851.08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$332,610.46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$110,073.60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$132,088.32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$158,505.98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$400,667.90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$2,280.00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$1,710.00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$6,840.00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$6,352.59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$10,985.87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$15,283.24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$32,621.70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$46,747.11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$58,165.75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$75,924.70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$180,837.56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$59,500.00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$3,144.96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$3,773.95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$66,418.91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($59,500.00)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($3,144.96)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($3,773.95)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($66,418.91)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$74,000.00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$62,000.00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$61,247.11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$110,267.90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$341,906.78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$314,395.84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$377,275.00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$1,033,577.62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$280,659.67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$265,375.05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$311,124.25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$857,158.97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$61,247.11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$49,020.79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$66,150.75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$176,418.65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$61,247.11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$110,267.90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$176,418.65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$176,418.65</w:t>
            </w:r>
          </w:p>
        </w:tc>
      </w:tr>
    </w:tbl>
    <w:p>
      <w:pPr>
        <w:spacing w:before="0" w:after="0" w:line="23" w:lineRule="exact"/>
      </w:pPr>
    </w:p>
    <w:p>
      <w:bookmarkStart w:id="70" w:name="toc_10_6"/>
      <w:pPr>
        <w:pStyle w:val="Heading2"/>
        <w:keepNext/>
      </w:pPr>
      <w:r>
        <w:t>10.6  Break Even Analysis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$262,080.00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$576,576.00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$576,576.00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$262,080.00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$314,496.00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$377,395.20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$377,395.20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$262,080.00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$576,576.00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$953,971.20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$953,971.20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$231,829.57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$502,053.16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$502,053.16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$231,829.57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$270,223.59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$316,386.47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$316,386.47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$231,829.57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$502,053.16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$818,439.63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$818,439.63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Oct '26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$197,018.18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keepLines/>
        <w:spacing w:before="200" w:after="160" w:line="240" w:lineRule="auto"/>
      </w:pPr>
      <w:hyperlink r:id="rId67">
        <w:r>
          <w:drawing>
            <wp:inline xmlns:a="http://schemas.openxmlformats.org/drawingml/2006/main" xmlns:pic="http://schemas.openxmlformats.org/drawingml/2006/picture">
              <wp:extent cx="6530399" cy="519139"/>
              <wp:docPr id="9059" name="Picture 9059"/>
              <wp:cNvGraphicFramePr>
                <a:graphicFrameLocks noChangeAspect="1"/>
              </wp:cNvGraphicFramePr>
              <a:graphic>
                <a:graphicData uri="http://schemas.openxmlformats.org/drawingml/2006/picture">
                  <pic:pic>
                    <pic:nvPicPr>
                      <pic:cNvPr id="0" name="image.png"/>
                      <pic:cNvPicPr/>
                    </pic:nvPicPr>
                    <pic:blipFill>
                      <a:blip r:embed="rId66"/>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F4858"/>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F4858"/>
              </w:pBdr>
            </w:pPr>
            <w:r>
              <w:rPr>
                <w:spacing w:val="0"/>
                <w:sz w:val="4"/>
                <w:szCs w:val="4"/>
              </w:rPr>
              <w:t xml:space="preserve"/>
            </w:r>
          </w:p>
        </w:tc>
      </w:tr>
    </w:tbl>
    <w:p>
      <w:bookmarkStart w:id="71" w:name="toc_11"/>
      <w:pPr>
        <w:pStyle w:val="Heading1"/>
        <w:spacing w:before="440" w:after="200"/>
      </w:pPr>
      <w:r>
        <w:t>References</w:t>
      </w:r>
      <w:bookmarkEnd w:id="71"/>
    </w:p>
    <w:p>
      <w:pPr>
        <w:spacing w:after="360"/>
        <w:ind w:right="9490"/>
        <w:pBdr>
          <w:bottom w:val="single" w:sz="18" w:space="0" w:color="2F4858"/>
        </w:pBdr>
      </w:pPr>
      <w:r>
        <w:rPr>
          <w:spacing w:val="0"/>
          <w:sz w:val="4"/>
          <w:szCs w:val="4"/>
        </w:rPr>
        <w:t xml:space="preserve"/>
      </w:r>
      <w:r>
        <w:br w:type="page"/>
      </w:r>
    </w:p>
    <w:p>
      <w:pPr>
        <w:pStyle w:val="ListBullet"/>
      </w:pPr>
      <w:r>
        <w:rPr>
          <w:b w:val="0"/>
          <w:i w:val="0"/>
        </w:rPr>
        <w:t xml:space="preserve">SRC001: Property Management in the US Industry Analysis, 2026, IBISWorld, 2026-05-01. </w:t>
      </w:r>
      <w:hyperlink r:id="rId68" w:history="1">
        <w:r>
          <w:rPr>
            <w:b w:val="0"/>
            <w:i w:val="0"/>
            <w:color w:val="0563C1"/>
            <w:u w:val="single"/>
          </w:rPr>
          <w:t>https://www.ibisworld.com/united-states/industry/property-management/1356/</w:t>
        </w:r>
      </w:hyperlink>
      <w:r>
        <w:rPr>
          <w:b w:val="0"/>
          <w:i w:val="0"/>
        </w:rPr>
        <w:t xml:space="preserve"> (accessed 2026-10-13)</w:t>
      </w:r>
    </w:p>
    <w:p>
      <w:pPr>
        <w:pStyle w:val="ListBullet"/>
      </w:pPr>
      <w:r>
        <w:rPr>
          <w:b w:val="0"/>
          <w:i w:val="0"/>
        </w:rPr>
        <w:t xml:space="preserve">SRC002: Average Property Management Fees, iPropertyManagement, 2022-09-07. </w:t>
      </w:r>
      <w:hyperlink r:id="rId69" w:history="1">
        <w:r>
          <w:rPr>
            <w:b w:val="0"/>
            <w:i w:val="0"/>
            <w:color w:val="0563C1"/>
            <w:u w:val="single"/>
          </w:rPr>
          <w:t>https://ipropertymanagement.com/research/average-property-management-fees</w:t>
        </w:r>
      </w:hyperlink>
      <w:r>
        <w:rPr>
          <w:b w:val="0"/>
          <w:i w:val="0"/>
        </w:rPr>
        <w:t xml:space="preserve"> (accessed 2026-10-13)</w:t>
      </w:r>
    </w:p>
    <w:p>
      <w:pPr>
        <w:pStyle w:val="ListBullet"/>
      </w:pPr>
      <w:r>
        <w:rPr>
          <w:b w:val="0"/>
          <w:i w:val="0"/>
        </w:rPr>
        <w:t xml:space="preserve">SRC003: Rental Housing Finance Survey, 2024, Table Creator, U.S. Census Bureau and HUD, 2026-02-19. </w:t>
      </w:r>
      <w:hyperlink r:id="rId70" w:history="1">
        <w:r>
          <w:rPr>
            <w:b w:val="0"/>
            <w:i w:val="0"/>
            <w:color w:val="0563C1"/>
            <w:u w:val="single"/>
          </w:rPr>
          <w:t>https://www.census.gov/data-tools/demo/rhfs/</w:t>
        </w:r>
      </w:hyperlink>
      <w:r>
        <w:rPr>
          <w:b w:val="0"/>
          <w:i w:val="0"/>
        </w:rPr>
        <w:t xml:space="preserve"> (accessed 2026-10-13)</w:t>
      </w:r>
    </w:p>
    <w:p>
      <w:pPr>
        <w:pStyle w:val="ListBullet"/>
      </w:pPr>
      <w:r>
        <w:rPr>
          <w:b w:val="0"/>
          <w:i w:val="0"/>
        </w:rPr>
        <w:t xml:space="preserve">SRC004: 2024 Rental Housing Finance Survey Data, U.S. Census Bureau, 2026-02-19. </w:t>
      </w:r>
      <w:hyperlink r:id="rId71" w:history="1">
        <w:r>
          <w:rPr>
            <w:b w:val="0"/>
            <w:i w:val="0"/>
            <w:color w:val="0563C1"/>
            <w:u w:val="single"/>
          </w:rPr>
          <w:t>https://www.census.gov/newsroom/press-releases/2026/2024-rhfs-data.html</w:t>
        </w:r>
      </w:hyperlink>
      <w:r>
        <w:rPr>
          <w:b w:val="0"/>
          <w:i w:val="0"/>
        </w:rPr>
        <w:t xml:space="preserve"> (accessed 2026-10-13)</w:t>
      </w:r>
    </w:p>
    <w:p>
      <w:pPr>
        <w:pStyle w:val="ListBullet"/>
      </w:pPr>
      <w:r>
        <w:rPr>
          <w:b w:val="0"/>
          <w:i w:val="0"/>
        </w:rPr>
        <w:t xml:space="preserve">SRC005: Rental Housing: Information on Institutional Investment in Single-Family Homes (GAO-24-106643), U.S. Government Accountability Office, 2024-05-22. </w:t>
      </w:r>
      <w:hyperlink r:id="rId72" w:history="1">
        <w:r>
          <w:rPr>
            <w:b w:val="0"/>
            <w:i w:val="0"/>
            <w:color w:val="0563C1"/>
            <w:u w:val="single"/>
          </w:rPr>
          <w:t>https://gao.gov/products/gao-24-106643</w:t>
        </w:r>
      </w:hyperlink>
      <w:r>
        <w:rPr>
          <w:b w:val="0"/>
          <w:i w:val="0"/>
        </w:rPr>
        <w:t xml:space="preserve"> (accessed 2026-10-13)</w:t>
      </w:r>
    </w:p>
    <w:p>
      <w:pPr>
        <w:pStyle w:val="ListBullet"/>
      </w:pPr>
      <w:r>
        <w:rPr>
          <w:b w:val="0"/>
          <w:i w:val="0"/>
        </w:rPr>
        <w:t xml:space="preserve">SRC006: Rental Housing: Institutional Investor Ownership of Single-Family Rental Homes (GAO-26-108675), U.S. Government Accountability Office, 2026-03-24. </w:t>
      </w:r>
      <w:hyperlink r:id="rId73" w:history="1">
        <w:r>
          <w:rPr>
            <w:b w:val="0"/>
            <w:i w:val="0"/>
            <w:color w:val="0563C1"/>
            <w:u w:val="single"/>
          </w:rPr>
          <w:t>https://www.gao.gov/products/gao-26-108675</w:t>
        </w:r>
      </w:hyperlink>
      <w:r>
        <w:rPr>
          <w:b w:val="0"/>
          <w:i w:val="0"/>
        </w:rPr>
        <w:t xml:space="preserve"> (accessed 2026-10-13)</w:t>
      </w:r>
    </w:p>
    <w:p>
      <w:pPr>
        <w:pStyle w:val="ListBullet"/>
      </w:pPr>
      <w:r>
        <w:rPr>
          <w:b w:val="0"/>
          <w:i w:val="0"/>
        </w:rPr>
        <w:t xml:space="preserve">SRC007: Quarterly Residential Vacancies and Homeownership, Second Quarter 2026, U.S. Census Bureau, 2026-07-28. </w:t>
      </w:r>
      <w:hyperlink r:id="rId74" w:history="1">
        <w:r>
          <w:rPr>
            <w:b w:val="0"/>
            <w:i w:val="0"/>
            <w:color w:val="0563C1"/>
            <w:u w:val="single"/>
          </w:rPr>
          <w:t>https://www.census.gov/housing/hvs/files/qtr226/Q226press.pdf</w:t>
        </w:r>
      </w:hyperlink>
      <w:r>
        <w:rPr>
          <w:b w:val="0"/>
          <w:i w:val="0"/>
        </w:rPr>
        <w:t xml:space="preserve"> (accessed 2026-10-13)</w:t>
      </w:r>
    </w:p>
    <w:p>
      <w:pPr>
        <w:pStyle w:val="ListBullet"/>
      </w:pPr>
      <w:r>
        <w:rPr>
          <w:b w:val="0"/>
          <w:i w:val="0"/>
        </w:rPr>
        <w:t xml:space="preserve">SRC008: Rents near $2,000, rising at the fastest pace in over a year, Zillow, 2026-08-18. </w:t>
      </w:r>
      <w:hyperlink r:id="rId75" w:history="1">
        <w:r>
          <w:rPr>
            <w:b w:val="0"/>
            <w:i w:val="0"/>
            <w:color w:val="0563C1"/>
            <w:u w:val="single"/>
          </w:rPr>
          <w:t>https://s25.q4cdn.com/975009107/files/doc_news/Rents-near-2000-rising-at-the-fastest-pace-in-over-a-year-2026.pdf</w:t>
        </w:r>
      </w:hyperlink>
      <w:r>
        <w:rPr>
          <w:b w:val="0"/>
          <w:i w:val="0"/>
        </w:rPr>
        <w:t xml:space="preserve"> (accessed 2026-10-13)</w:t>
      </w:r>
    </w:p>
    <w:p>
      <w:pPr>
        <w:pStyle w:val="ListBullet"/>
      </w:pPr>
      <w:r>
        <w:rPr>
          <w:b w:val="0"/>
          <w:i w:val="0"/>
        </w:rPr>
        <w:t xml:space="preserve">SRC009: Annual single-family rent growth returns to seasonal norms, Cotality, 2026-09-17. </w:t>
      </w:r>
      <w:hyperlink r:id="rId76" w:history="1">
        <w:r>
          <w:rPr>
            <w:b w:val="0"/>
            <w:i w:val="0"/>
            <w:color w:val="0563C1"/>
            <w:u w:val="single"/>
          </w:rPr>
          <w:t>https://www.cotality.com/press-releases/annual-single-family-rent-growth-returns-to-seasonal-norms</w:t>
        </w:r>
      </w:hyperlink>
      <w:r>
        <w:rPr>
          <w:b w:val="0"/>
          <w:i w:val="0"/>
        </w:rPr>
        <w:t xml:space="preserve"> (accessed 2026-10-13)</w:t>
      </w:r>
    </w:p>
    <w:p>
      <w:pPr>
        <w:pStyle w:val="ListBullet"/>
      </w:pPr>
      <w:r>
        <w:rPr>
          <w:b w:val="0"/>
          <w:i w:val="0"/>
        </w:rPr>
        <w:t xml:space="preserve">SRC010: State of the Nation's Housing 2026 Finds Affordability Challenges Remain Widespread, Harvard Graduate School of Design, 2026-06-17. </w:t>
      </w:r>
      <w:hyperlink r:id="rId77" w:history="1">
        <w:r>
          <w:rPr>
            <w:b w:val="0"/>
            <w:i w:val="0"/>
            <w:color w:val="0563C1"/>
            <w:u w:val="single"/>
          </w:rPr>
          <w:t>https://www.gsd.harvard.edu/2026/06/state-of-the-nations-housing-2026-finds-affordability-challenges/</w:t>
        </w:r>
      </w:hyperlink>
      <w:r>
        <w:rPr>
          <w:b w:val="0"/>
          <w:i w:val="0"/>
        </w:rPr>
        <w:t xml:space="preserve"> (accessed 2026-10-13)</w:t>
      </w:r>
    </w:p>
    <w:p>
      <w:pPr>
        <w:pStyle w:val="ListBullet"/>
      </w:pPr>
      <w:r>
        <w:rPr>
          <w:b w:val="0"/>
          <w:i w:val="0"/>
        </w:rPr>
        <w:t xml:space="preserve">SRC011: 42 U.S. Code 3604, Discrimination in the sale or rental of housing, Legal Information Institute, Cornell Law School. </w:t>
      </w:r>
      <w:hyperlink r:id="rId78" w:history="1">
        <w:r>
          <w:rPr>
            <w:b w:val="0"/>
            <w:i w:val="0"/>
            <w:color w:val="0563C1"/>
            <w:u w:val="single"/>
          </w:rPr>
          <w:t>https://www.law.cornell.edu/uscode/text/42/3604</w:t>
        </w:r>
      </w:hyperlink>
      <w:r>
        <w:rPr>
          <w:b w:val="0"/>
          <w:i w:val="0"/>
        </w:rPr>
        <w:t xml:space="preserve"> (accessed 2026-10-13)</w:t>
      </w:r>
    </w:p>
    <w:p>
      <w:pPr>
        <w:pStyle w:val="ListBullet"/>
      </w:pPr>
      <w:r>
        <w:rPr>
          <w:b w:val="0"/>
          <w:i w:val="0"/>
        </w:rPr>
        <w:t xml:space="preserve">SRC012: HUD Withdraws Wide-Ranging Fair Housing Policies, LeadingAge, 2025-09-23. </w:t>
      </w:r>
      <w:hyperlink r:id="rId79" w:history="1">
        <w:r>
          <w:rPr>
            <w:b w:val="0"/>
            <w:i w:val="0"/>
            <w:color w:val="0563C1"/>
            <w:u w:val="single"/>
          </w:rPr>
          <w:t>https://leadingage.org/hud-withdraws-wide-ranging-fair-housing-policies/</w:t>
        </w:r>
      </w:hyperlink>
      <w:r>
        <w:rPr>
          <w:b w:val="0"/>
          <w:i w:val="0"/>
        </w:rPr>
        <w:t xml:space="preserve"> (accessed 2026-10-13)</w:t>
      </w:r>
    </w:p>
    <w:p>
      <w:pPr>
        <w:pStyle w:val="ListBullet"/>
      </w:pPr>
      <w:r>
        <w:rPr>
          <w:b w:val="0"/>
          <w:i w:val="0"/>
        </w:rPr>
        <w:t xml:space="preserve">SRC013: Using Consumer Reports: What Landlords Need to Know, Federal Trade Commission, 2023-07-01. </w:t>
      </w:r>
      <w:hyperlink r:id="rId80" w:history="1">
        <w:r>
          <w:rPr>
            <w:b w:val="0"/>
            <w:i w:val="0"/>
            <w:color w:val="0563C1"/>
            <w:u w:val="single"/>
          </w:rPr>
          <w:t>https://www.ftc.gov/business-guidance/resources/using-consumer-reports-what-landlords-need-know</w:t>
        </w:r>
      </w:hyperlink>
      <w:r>
        <w:rPr>
          <w:b w:val="0"/>
          <w:i w:val="0"/>
        </w:rPr>
        <w:t xml:space="preserve"> (accessed 2026-10-13)</w:t>
      </w:r>
    </w:p>
    <w:p>
      <w:pPr>
        <w:pStyle w:val="ListBullet"/>
      </w:pPr>
      <w:r>
        <w:rPr>
          <w:b w:val="0"/>
          <w:i w:val="0"/>
        </w:rPr>
        <w:t xml:space="preserve">SRC014: CFPB Reports Highlight Problems with Tenant Background Checks, Consumer Financial Protection Bureau, 2022-11-15. </w:t>
      </w:r>
      <w:hyperlink r:id="rId81" w:history="1">
        <w:r>
          <w:rPr>
            <w:b w:val="0"/>
            <w:i w:val="0"/>
            <w:color w:val="0563C1"/>
            <w:u w:val="single"/>
          </w:rPr>
          <w:t>https://www.consumerfinance.gov/about-us/newsroom/cfpb-reports-highlight-problems-with-tenant-background-checks/</w:t>
        </w:r>
      </w:hyperlink>
      <w:r>
        <w:rPr>
          <w:b w:val="0"/>
          <w:i w:val="0"/>
        </w:rPr>
        <w:t xml:space="preserve"> (accessed 2026-10-13)</w:t>
      </w:r>
    </w:p>
    <w:p>
      <w:pPr>
        <w:pStyle w:val="ListBullet"/>
      </w:pPr>
      <w:r>
        <w:rPr>
          <w:b w:val="0"/>
          <w:i w:val="0"/>
        </w:rPr>
        <w:t xml:space="preserve">SRC015: 2026 State of the Property Management Industry Report, Buildium, 2026-01-01. </w:t>
      </w:r>
      <w:hyperlink r:id="rId82" w:history="1">
        <w:r>
          <w:rPr>
            <w:b w:val="0"/>
            <w:i w:val="0"/>
            <w:color w:val="0563C1"/>
            <w:u w:val="single"/>
          </w:rPr>
          <w:t>https://www.buildium.com/resource/2026-property-management-industry-report/</w:t>
        </w:r>
      </w:hyperlink>
      <w:r>
        <w:rPr>
          <w:b w:val="0"/>
          <w:i w:val="0"/>
        </w:rPr>
        <w:t xml:space="preserve"> (accessed 2026-10-13)</w:t>
      </w:r>
    </w:p>
    <w:p>
      <w:pPr>
        <w:pStyle w:val="ListBullet"/>
      </w:pPr>
      <w:r>
        <w:rPr>
          <w:b w:val="0"/>
          <w:i w:val="0"/>
        </w:rPr>
        <w:t xml:space="preserve">SRC016: Property, Real Estate, and Community Association Managers, Occupational Outlook Handbook, U.S. Bureau of Labor Statistics, 2026-08-27. </w:t>
      </w:r>
      <w:hyperlink r:id="rId83" w:history="1">
        <w:r>
          <w:rPr>
            <w:b w:val="0"/>
            <w:i w:val="0"/>
            <w:color w:val="0563C1"/>
            <w:u w:val="single"/>
          </w:rPr>
          <w:t>https://www.bls.gov/ooh/management/property-real-estate-and-community-association-managers.htm</w:t>
        </w:r>
      </w:hyperlink>
      <w:r>
        <w:rPr>
          <w:b w:val="0"/>
          <w:i w:val="0"/>
        </w:rPr>
        <w:t xml:space="preserve"> (accessed 2026-10-13)</w:t>
      </w:r>
    </w:p>
    <w:p>
      <w:pPr>
        <w:pStyle w:val="ListBullet"/>
      </w:pPr>
      <w:r>
        <w:rPr>
          <w:b w:val="0"/>
          <w:i w:val="0"/>
        </w:rPr>
        <w:t xml:space="preserve">SRC017: NARPM Membership, National Association of Residential Property Managers. </w:t>
      </w:r>
      <w:hyperlink r:id="rId84" w:history="1">
        <w:r>
          <w:rPr>
            <w:b w:val="0"/>
            <w:i w:val="0"/>
            <w:color w:val="0563C1"/>
            <w:u w:val="single"/>
          </w:rPr>
          <w:t>https://www.narpm.org/join/narpm-membership/</w:t>
        </w:r>
      </w:hyperlink>
      <w:r>
        <w:rPr>
          <w:b w:val="0"/>
          <w:i w:val="0"/>
        </w:rPr>
        <w:t xml:space="preserve"> (accessed 2026-10-13)</w:t>
      </w:r>
    </w:p>
    <w:p>
      <w:pPr>
        <w:pStyle w:val="ListBullet"/>
      </w:pPr>
      <w:r>
        <w:rPr>
          <w:b w:val="0"/>
          <w:i w:val="0"/>
        </w:rPr>
        <w:t xml:space="preserve">SRC018: Financial Controls Guide, National Association of Residential Property Managers, 2019-01-01. </w:t>
      </w:r>
      <w:hyperlink r:id="rId85" w:history="1">
        <w:r>
          <w:rPr>
            <w:b w:val="0"/>
            <w:i w:val="0"/>
            <w:color w:val="0563C1"/>
            <w:u w:val="single"/>
          </w:rPr>
          <w:t>https://www.narpm.org/indexed/doc1-financial-controls-guide-pdf/</w:t>
        </w:r>
      </w:hyperlink>
      <w:r>
        <w:rPr>
          <w:b w:val="0"/>
          <w:i w:val="0"/>
        </w:rPr>
        <w:t xml:space="preserve"> (accessed 2026-10-13)</w:t>
      </w:r>
    </w:p>
    <w:p>
      <w:pPr>
        <w:pStyle w:val="ListBullet"/>
      </w:pPr>
      <w:r>
        <w:rPr>
          <w:b w:val="0"/>
          <w:i w:val="0"/>
        </w:rPr>
        <w:t xml:space="preserve">SRC019: AppFolio, Inc. Announces Second Quarter 2026 Financial Results, AppFolio (SEC Form 8-K exhibit 99.1), 2026-07-23. </w:t>
      </w:r>
      <w:hyperlink r:id="rId86" w:history="1">
        <w:r>
          <w:rPr>
            <w:b w:val="0"/>
            <w:i w:val="0"/>
            <w:color w:val="0563C1"/>
            <w:u w:val="single"/>
          </w:rPr>
          <w:t>https://www.sec.gov/Archives/edgar/data/0001433195/000143319526000056/appfq22026exhibit991.htm</w:t>
        </w:r>
      </w:hyperlink>
      <w:r>
        <w:rPr>
          <w:b w:val="0"/>
          <w:i w:val="0"/>
        </w:rPr>
        <w:t xml:space="preserve"> (accessed 2026-10-13)</w:t>
      </w:r>
    </w:p>
    <w:p>
      <w:pPr>
        <w:pStyle w:val="ListBullet"/>
      </w:pPr>
      <w:r>
        <w:rPr>
          <w:b w:val="0"/>
          <w:i w:val="0"/>
        </w:rPr>
        <w:t xml:space="preserve">SRC020: Pricing, Buildium, 2026-10-13. </w:t>
      </w:r>
      <w:hyperlink r:id="rId87" w:history="1">
        <w:r>
          <w:rPr>
            <w:b w:val="0"/>
            <w:i w:val="0"/>
            <w:color w:val="0563C1"/>
            <w:u w:val="single"/>
          </w:rPr>
          <w:t>https://www.buildium.com/pricing/</w:t>
        </w:r>
      </w:hyperlink>
      <w:r>
        <w:rPr>
          <w:b w:val="0"/>
          <w:i w:val="0"/>
        </w:rPr>
        <w:t xml:space="preserve"> (accessed 2026-10-13)</w:t>
      </w:r>
    </w:p>
    <w:p>
      <w:pPr>
        <w:pStyle w:val="ListBullet"/>
      </w:pPr>
      <w:r>
        <w:rPr>
          <w:b w:val="0"/>
          <w:i w:val="0"/>
        </w:rPr>
        <w:t xml:space="preserve">SRC021: U.S. and Plaintiff States v. RealPage, Inc., U.S. Department of Justice, Antitrust Division, 2025-11-24. </w:t>
      </w:r>
      <w:hyperlink r:id="rId88" w:history="1">
        <w:r>
          <w:rPr>
            <w:b w:val="0"/>
            <w:i w:val="0"/>
            <w:color w:val="0563C1"/>
            <w:u w:val="single"/>
          </w:rPr>
          <w:t>https://www.justice.gov/atr/case/us-and-plaintiff-states-v-realpage-inc</w:t>
        </w:r>
      </w:hyperlink>
      <w:r>
        <w:rPr>
          <w:b w:val="0"/>
          <w:i w:val="0"/>
        </w:rPr>
        <w:t xml:space="preserve"> (accessed 2026-10-13)</w:t>
      </w:r>
    </w:p>
    <w:p>
      <w:pPr>
        <w:pStyle w:val="ListBullet"/>
      </w:pPr>
      <w:r>
        <w:rPr>
          <w:b w:val="0"/>
          <w:i w:val="0"/>
        </w:rPr>
        <w:t xml:space="preserve">SRC022: All 19 Neighborly Brands Earn Spots on Entrepreneur's 2026 Franchise 500 for Second Consecutive Year, Cleanfax, 2026-01-15. </w:t>
      </w:r>
      <w:hyperlink r:id="rId89" w:history="1">
        <w:r>
          <w:rPr>
            <w:b w:val="0"/>
            <w:i w:val="0"/>
            <w:color w:val="0563C1"/>
            <w:u w:val="single"/>
          </w:rPr>
          <w:t>https://cleanfax.com/all-19-neighborlybrands-earn-spots-on-entrepreneurs-2026-franchise-500-for-second-consecutive-year/</w:t>
        </w:r>
      </w:hyperlink>
      <w:r>
        <w:rPr>
          <w:b w:val="0"/>
          <w:i w:val="0"/>
        </w:rPr>
        <w:t xml:space="preserve"> (accessed 2026-10-13)</w:t>
      </w:r>
    </w:p>
    <w:p>
      <w:pPr>
        <w:pStyle w:val="ListBullet"/>
      </w:pPr>
      <w:r>
        <w:rPr>
          <w:b w:val="0"/>
          <w:i w:val="0"/>
        </w:rPr>
        <w:t xml:space="preserve">SRC023: PMI Ranked in the Entrepreneur Franchise 500 for 12th Consecutive Year, Property Management Inc., 2026-02-19. </w:t>
      </w:r>
      <w:hyperlink r:id="rId90" w:history="1">
        <w:r>
          <w:rPr>
            <w:b w:val="0"/>
            <w:i w:val="0"/>
            <w:color w:val="0563C1"/>
            <w:u w:val="single"/>
          </w:rPr>
          <w:t>https://www.propertymanagementinc.com/pmi-news/pmi-ranked-in-the-entrepreneur-franchise-500-for-12th-consecutive-year</w:t>
        </w:r>
      </w:hyperlink>
      <w:r>
        <w:rPr>
          <w:b w:val="0"/>
          <w:i w:val="0"/>
        </w:rPr>
        <w:t xml:space="preserve"> (accessed 2026-10-13)</w:t>
      </w:r>
    </w:p>
    <w:p>
      <w:pPr>
        <w:pStyle w:val="ListBullet"/>
      </w:pPr>
      <w:r>
        <w:rPr>
          <w:b w:val="0"/>
          <w:i w:val="0"/>
        </w:rPr>
        <w:t xml:space="preserve">SRC024: Ownership of the U.S. Rental Housing Stock by Investor Type: In Brief (R47332), Congressional Research Service, 2022-12-13. </w:t>
      </w:r>
      <w:hyperlink r:id="rId91" w:history="1">
        <w:r>
          <w:rPr>
            <w:b w:val="0"/>
            <w:i w:val="0"/>
            <w:color w:val="0563C1"/>
            <w:u w:val="single"/>
          </w:rPr>
          <w:t>https://www.everycrsreport.com/reports/R47332.html</w:t>
        </w:r>
      </w:hyperlink>
      <w:r>
        <w:rPr>
          <w:b w:val="0"/>
          <w:i w:val="0"/>
        </w:rPr>
        <w:t xml:space="preserve"> (accessed 2026-10-13)</w:t>
      </w:r>
    </w:p>
    <w:p>
      <w:pPr>
        <w:pStyle w:val="ListBullet"/>
      </w:pPr>
      <w:r>
        <w:rPr>
          <w:b w:val="0"/>
          <w:i w:val="0"/>
        </w:rPr>
        <w:t xml:space="preserve">SRC025: An eviction moratorium without rental assistance hurts smaller landlords, too, Brookings, The Hamilton Project, 2020-09-21. </w:t>
      </w:r>
      <w:hyperlink r:id="rId92" w:history="1">
        <w:r>
          <w:rPr>
            <w:b w:val="0"/>
            <w:i w:val="0"/>
            <w:color w:val="0563C1"/>
            <w:u w:val="single"/>
          </w:rPr>
          <w:t>https://www.brookings.edu/articles/an-eviction-moratorium-without-rental-assistance-hurts-smaller-landlords-too</w:t>
        </w:r>
      </w:hyperlink>
      <w:r>
        <w:rPr>
          <w:b w:val="0"/>
          <w:i w:val="0"/>
        </w:rPr>
        <w:t xml:space="preserve"> (accessed 2026-10-13)</w:t>
      </w:r>
    </w:p>
    <w:p>
      <w:pPr>
        <w:pStyle w:val="ListBullet"/>
      </w:pPr>
      <w:r>
        <w:rPr>
          <w:b w:val="0"/>
          <w:i w:val="0"/>
        </w:rPr>
        <w:t xml:space="preserve">SRC026: ACS 2024 1-year, Tables B25003, B25032 and B25064, Jacksonville, FL Metro Area, U.S. Census Bureau via Census Reporter, 2025-01-01. </w:t>
      </w:r>
      <w:hyperlink r:id="rId93" w:history="1">
        <w:r>
          <w:rPr>
            <w:b w:val="0"/>
            <w:i w:val="0"/>
            <w:color w:val="0563C1"/>
            <w:u w:val="single"/>
          </w:rPr>
          <w:t>https://censusreporter.org/profiles/31000US27260-jacksonville-fl-metro-area/</w:t>
        </w:r>
      </w:hyperlink>
      <w:r>
        <w:rPr>
          <w:b w:val="0"/>
          <w:i w:val="0"/>
        </w:rPr>
        <w:t xml:space="preserve"> (accessed 2026-10-14)</w:t>
      </w:r>
    </w:p>
    <w:p>
      <w:pPr>
        <w:pStyle w:val="ListBullet"/>
      </w:pPr>
      <w:r>
        <w:rPr>
          <w:b w:val="0"/>
          <w:i w:val="0"/>
        </w:rPr>
        <w:t xml:space="preserve">SRC027: QCEW Open Data: 2025 Annual Averages, NAICS 531311 Residential property managers, U.S. Bureau of Labor Statistics, 2026-01-01. </w:t>
      </w:r>
      <w:hyperlink r:id="rId94" w:history="1">
        <w:r>
          <w:rPr>
            <w:b w:val="0"/>
            <w:i w:val="0"/>
            <w:color w:val="0563C1"/>
            <w:u w:val="single"/>
          </w:rPr>
          <w:t>https://data.bls.gov/cew/data/api/2025/a/industry/531311.csv</w:t>
        </w:r>
      </w:hyperlink>
      <w:r>
        <w:rPr>
          <w:b w:val="0"/>
          <w:i w:val="0"/>
        </w:rPr>
        <w:t xml:space="preserve"> (accessed 2026-10-14)</w:t>
      </w:r>
    </w:p>
    <w:p>
      <w:pPr>
        <w:pStyle w:val="ListBullet"/>
      </w:pPr>
      <w:r>
        <w:rPr>
          <w:b w:val="0"/>
          <w:i w:val="0"/>
        </w:rPr>
        <w:t xml:space="preserve">SRC028: QCEW Open Data: 2024 Annual Averages, NAICS 531311 Residential property managers, U.S. Bureau of Labor Statistics, 2025-01-01. </w:t>
      </w:r>
      <w:hyperlink r:id="rId95" w:history="1">
        <w:r>
          <w:rPr>
            <w:b w:val="0"/>
            <w:i w:val="0"/>
            <w:color w:val="0563C1"/>
            <w:u w:val="single"/>
          </w:rPr>
          <w:t>https://data.bls.gov/cew/data/api/2024/a/industry/531311.csv</w:t>
        </w:r>
      </w:hyperlink>
      <w:r>
        <w:rPr>
          <w:b w:val="0"/>
          <w:i w:val="0"/>
        </w:rPr>
        <w:t xml:space="preserve"> (accessed 2026-10-14)</w:t>
      </w:r>
    </w:p>
    <w:p>
      <w:pPr>
        <w:pStyle w:val="ListBullet"/>
      </w:pPr>
      <w:r>
        <w:rPr>
          <w:b w:val="0"/>
          <w:i w:val="0"/>
        </w:rPr>
        <w:t xml:space="preserve">SRC029: QCEW Open Data: 2025 Annual Averages, NAICS 53131 Real estate property managers, U.S. Bureau of Labor Statistics, 2026-01-01. </w:t>
      </w:r>
      <w:hyperlink r:id="rId96" w:history="1">
        <w:r>
          <w:rPr>
            <w:b w:val="0"/>
            <w:i w:val="0"/>
            <w:color w:val="0563C1"/>
            <w:u w:val="single"/>
          </w:rPr>
          <w:t>https://data.bls.gov/cew/data/api/2025/a/industry/53131.csv</w:t>
        </w:r>
      </w:hyperlink>
      <w:r>
        <w:rPr>
          <w:b w:val="0"/>
          <w:i w:val="0"/>
        </w:rPr>
        <w:t xml:space="preserve"> (accessed 2026-10-14)</w:t>
      </w:r>
    </w:p>
    <w:p>
      <w:pPr>
        <w:pStyle w:val="ListBullet"/>
      </w:pPr>
      <w:r>
        <w:rPr>
          <w:b w:val="0"/>
          <w:i w:val="0"/>
        </w:rPr>
        <w:t xml:space="preserve">SRC030: Rental Vacancy Rates for the 75 Largest Metropolitan Statistical Areas, Tables 4 and 4b, U.S. Census Bureau, Housing Vacancies and Homeownership, 2026-01-01. </w:t>
      </w:r>
      <w:hyperlink r:id="rId97" w:history="1">
        <w:r>
          <w:rPr>
            <w:b w:val="0"/>
            <w:i w:val="0"/>
            <w:color w:val="0563C1"/>
            <w:u w:val="single"/>
          </w:rPr>
          <w:t>https://www.census.gov/housing/hvs/data/rates.html</w:t>
        </w:r>
      </w:hyperlink>
      <w:r>
        <w:rPr>
          <w:b w:val="0"/>
          <w:i w:val="0"/>
        </w:rPr>
        <w:t xml:space="preserve"> (accessed 2026-10-14)</w:t>
      </w:r>
    </w:p>
    <w:p>
      <w:pPr>
        <w:pStyle w:val="ListBullet"/>
      </w:pPr>
      <w:r>
        <w:rPr>
          <w:b w:val="0"/>
          <w:i w:val="0"/>
        </w:rPr>
        <w:t xml:space="preserve">SRC031: Military Presence, City of Jacksonville, Office of Economic Development, 2024-01-01. </w:t>
      </w:r>
      <w:hyperlink r:id="rId98" w:history="1">
        <w:r>
          <w:rPr>
            <w:b w:val="0"/>
            <w:i w:val="0"/>
            <w:color w:val="0563C1"/>
            <w:u w:val="single"/>
          </w:rPr>
          <w:t>https://www.jacksonville.gov/departments/office-of-economic-development/about-jacksonville/military-presence</w:t>
        </w:r>
      </w:hyperlink>
      <w:r>
        <w:rPr>
          <w:b w:val="0"/>
          <w:i w:val="0"/>
        </w:rPr>
        <w:t xml:space="preserve"> (accessed 2026-10-14)</w:t>
      </w:r>
    </w:p>
    <w:p>
      <w:pPr>
        <w:pStyle w:val="ListBullet"/>
      </w:pPr>
      <w:r>
        <w:rPr>
          <w:b w:val="0"/>
          <w:i w:val="0"/>
        </w:rPr>
        <w:t xml:space="preserve">SRC032: Jacksonville Office Figures Q3 2026, CBRE, 2026-10-01. </w:t>
      </w:r>
      <w:hyperlink r:id="rId99" w:history="1">
        <w:r>
          <w:rPr>
            <w:b w:val="0"/>
            <w:i w:val="0"/>
            <w:color w:val="0563C1"/>
            <w:u w:val="single"/>
          </w:rPr>
          <w:t>https://www.cbre.com/insights/figures/jacksonville-office-figures-q3-2026</w:t>
        </w:r>
      </w:hyperlink>
      <w:r>
        <w:rPr>
          <w:b w:val="0"/>
          <w:i w:val="0"/>
        </w:rPr>
        <w:t xml:space="preserve"> (accessed 2026-10-14)</w:t>
      </w:r>
    </w:p>
    <w:p>
      <w:pPr>
        <w:pStyle w:val="ListBullet"/>
      </w:pPr>
      <w:r>
        <w:rPr>
          <w:b w:val="0"/>
          <w:i w:val="0"/>
        </w:rPr>
        <w:t xml:space="preserve">SRC033: Florida Raises Minimum Wage to $15, Effective Sept. 30, HR Morning, 2026-01-01. </w:t>
      </w:r>
      <w:hyperlink r:id="rId100" w:history="1">
        <w:r>
          <w:rPr>
            <w:b w:val="0"/>
            <w:i w:val="0"/>
            <w:color w:val="0563C1"/>
            <w:u w:val="single"/>
          </w:rPr>
          <w:t>https://www.hrmorning.com/news/florida-minimum-wage/</w:t>
        </w:r>
      </w:hyperlink>
      <w:r>
        <w:rPr>
          <w:b w:val="0"/>
          <w:i w:val="0"/>
        </w:rPr>
        <w:t xml:space="preserve"> (accessed 2026-10-14)</w:t>
      </w:r>
    </w:p>
    <w:p>
      <w:pPr>
        <w:pStyle w:val="ListBullet"/>
      </w:pPr>
      <w:r>
        <w:rPr>
          <w:b w:val="0"/>
          <w:i w:val="0"/>
        </w:rPr>
        <w:t xml:space="preserve">SRC034: Florida Statutes section 475.01, Definitions, The Florida Legislature, Online Sunshine, 2026-01-01. </w:t>
      </w:r>
      <w:hyperlink r:id="rId101" w:history="1">
        <w:r>
          <w:rPr>
            <w:b w:val="0"/>
            <w:i w:val="0"/>
            <w:color w:val="0563C1"/>
            <w:u w:val="single"/>
          </w:rPr>
          <w:t>http://www.leg.state.fl.us/statutes/index.cfm?App_mode=Display_Statute&amp;URL=0400-0499/0475/Sections/0475.01.html</w:t>
        </w:r>
      </w:hyperlink>
      <w:r>
        <w:rPr>
          <w:b w:val="0"/>
          <w:i w:val="0"/>
        </w:rPr>
        <w:t xml:space="preserve"> (accessed 2026-10-14)</w:t>
      </w:r>
    </w:p>
    <w:p>
      <w:pPr>
        <w:pStyle w:val="ListBullet"/>
      </w:pPr>
      <w:r>
        <w:rPr>
          <w:b w:val="0"/>
          <w:i w:val="0"/>
        </w:rPr>
        <w:t xml:space="preserve">SRC035: Florida Statutes section 83.49, Deposit money or advance rent, The Florida Legislature, Online Sunshine, 2026-01-01. </w:t>
      </w:r>
      <w:hyperlink r:id="rId102" w:history="1">
        <w:r>
          <w:rPr>
            <w:b w:val="0"/>
            <w:i w:val="0"/>
            <w:color w:val="0563C1"/>
            <w:u w:val="single"/>
          </w:rPr>
          <w:t>http://www.leg.state.fl.us/statutes/index.cfm?App_mode=Display_Statute&amp;URL=0000-0099/0083/Sections/0083.49.html</w:t>
        </w:r>
      </w:hyperlink>
      <w:r>
        <w:rPr>
          <w:b w:val="0"/>
          <w:i w:val="0"/>
        </w:rPr>
        <w:t xml:space="preserve"> (accessed 2026-10-14)</w:t>
      </w:r>
    </w:p>
    <w:p>
      <w:pPr>
        <w:pStyle w:val="ListBullet"/>
        <w:spacing w:after="227"/>
        <w:sectPr w:rsidR="00FC693F" w:rsidRPr="0006063C" w:rsidSect="00034616">
          <w:pgSz w:w="11906" w:h="16838"/>
          <w:pgMar w:top="1191" w:right="811" w:bottom="907" w:left="811" w:header="720" w:footer="340" w:gutter="0"/>
          <w:cols w:space="720"/>
          <w:docGrid w:linePitch="360"/>
        </w:sectPr>
      </w:pPr>
      <w:r>
        <w:rPr>
          <w:b w:val="0"/>
          <w:i w:val="0"/>
        </w:rPr>
        <w:t xml:space="preserve">SRC036: FL H1417, 2023 Regular Session, LegiScan, 2023-01-01. </w:t>
      </w:r>
      <w:hyperlink r:id="rId103" w:history="1">
        <w:r>
          <w:rPr>
            <w:b w:val="0"/>
            <w:i w:val="0"/>
            <w:color w:val="0563C1"/>
            <w:u w:val="single"/>
          </w:rPr>
          <w:t>https://legiscan.com/FL/bill/H1417/2023</w:t>
        </w:r>
      </w:hyperlink>
      <w:r>
        <w:rPr>
          <w:b w:val="0"/>
          <w:i w:val="0"/>
        </w:rPr>
        <w:t xml:space="preserve"> (accessed 2026-10-14)</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60" name="Upmetrics CTA 1"/>
            <wp:cNvGraphicFramePr>
              <a:graphicFrameLocks noChangeAspect="1"/>
            </wp:cNvGraphicFramePr>
            <a:graphic>
              <a:graphicData uri="http://schemas.openxmlformats.org/drawingml/2006/picture">
                <pic:pic>
                  <pic:nvPicPr>
                    <pic:cNvPr id="0" name="Upmetrics CTA 1"/>
                    <pic:cNvPicPr/>
                  </pic:nvPicPr>
                  <pic:blipFill>
                    <a:blip r:embed="rId104"/>
                    <a:stretch>
                      <a:fillRect/>
                    </a:stretch>
                  </pic:blipFill>
                  <pic:spPr>
                    <a:xfrm>
                      <a:off x="0" y="0"/>
                      <a:ext cx="7560310" cy="10692130"/>
                    </a:xfrm>
                    <a:prstGeom prst="rect">
                      <a:avLst/>
                    </a:prstGeom>
                  </pic:spPr>
                </pic:pic>
              </a:graphicData>
            </a:graphic>
          </wp:anchor>
        </w:drawing>
      </w:r>
      <w:hyperlink r:id="rId106">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61" name="Upmetrics CTA 1 button 1">
                <a:hlinkClick r:id="rId106"/>
              </wp:docPr>
              <wp:cNvGraphicFramePr>
                <a:graphicFrameLocks noChangeAspect="1"/>
              </wp:cNvGraphicFramePr>
              <a:graphic>
                <a:graphicData uri="http://schemas.openxmlformats.org/drawingml/2006/picture">
                  <pic:pic>
                    <pic:nvPicPr>
                      <pic:cNvPr id="0" name="Upmetrics CTA 1 button 1"/>
                      <pic:cNvPicPr/>
                    </pic:nvPicPr>
                    <pic:blipFill>
                      <a:blip r:embed="rId105"/>
                      <a:stretch>
                        <a:fillRect/>
                      </a:stretch>
                    </pic:blipFill>
                    <pic:spPr>
                      <a:xfrm>
                        <a:off x="0" y="0"/>
                        <a:ext cx="2594278" cy="391891"/>
                      </a:xfrm>
                      <a:prstGeom prst="rect">
                        <a:avLst/>
                      </a:prstGeom>
                    </pic:spPr>
                  </pic:pic>
                </a:graphicData>
              </a:graphic>
            </wp:anchor>
          </w:drawing>
        </w:r>
      </w:hyperlink>
      <w:hyperlink r:id="rId106">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62" name="Upmetrics CTA 1 button 2">
                <a:hlinkClick r:id="rId106"/>
              </wp:docPr>
              <wp:cNvGraphicFramePr>
                <a:graphicFrameLocks noChangeAspect="1"/>
              </wp:cNvGraphicFramePr>
              <a:graphic>
                <a:graphicData uri="http://schemas.openxmlformats.org/drawingml/2006/picture">
                  <pic:pic>
                    <pic:nvPicPr>
                      <pic:cNvPr id="0" name="Upmetrics CTA 1 button 2"/>
                      <pic:cNvPicPr/>
                    </pic:nvPicPr>
                    <pic:blipFill>
                      <a:blip r:embed="rId107"/>
                      <a:stretch>
                        <a:fillRect/>
                      </a:stretch>
                    </pic:blipFill>
                    <pic:spPr>
                      <a:xfrm>
                        <a:off x="0" y="0"/>
                        <a:ext cx="2571419" cy="248641"/>
                      </a:xfrm>
                      <a:prstGeom prst="rect">
                        <a:avLst/>
                      </a:prstGeom>
                    </pic:spPr>
                  </pic:pic>
                </a:graphicData>
              </a:graphic>
            </wp:anchor>
          </w:drawing>
        </w:r>
      </w:hyperlink>
      <w:hyperlink r:id="rId109">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63" name="Upmetrics CTA 1 button 3">
                <a:hlinkClick r:id="rId109"/>
              </wp:docPr>
              <wp:cNvGraphicFramePr>
                <a:graphicFrameLocks noChangeAspect="1"/>
              </wp:cNvGraphicFramePr>
              <a:graphic>
                <a:graphicData uri="http://schemas.openxmlformats.org/drawingml/2006/picture">
                  <pic:pic>
                    <pic:nvPicPr>
                      <pic:cNvPr id="0" name="Upmetrics CTA 1 button 3"/>
                      <pic:cNvPicPr/>
                    </pic:nvPicPr>
                    <pic:blipFill>
                      <a:blip r:embed="rId108"/>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D57E448F-9E6B-473C-9B6E-D9700EB5C96D}"/>
    <w:embedBold r:id="rId2" w:fontKey="{7E6D7E93-C240-4C0B-AF7B-805E52702B32}"/>
  </w:font>
  <w:font w:name="Roboto Bold">
    <w:charset w:val="00"/>
    <w:family w:val="auto"/>
    <w:pitch w:val="variable"/>
    <w:embedRegular r:id="rId3" w:fontKey="{52FB2849-7BE5-49CF-A56D-6DF730276C95}"/>
  </w:font>
  <w:font w:name="Roboto Medium">
    <w:charset w:val="00"/>
    <w:family w:val="auto"/>
    <w:pitch w:val="variable"/>
    <w:embedRegular r:id="rId4" w:fontKey="{9F881EA6-A2AF-4832-BF20-57C6A856B108}"/>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Keelridge Property Management | Business Plan 2026</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2F4858"/>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2F4858"/>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hyperlink" Target="https://upmetrics.co/features/industry-research" TargetMode="External"/><Relationship Id="rId32" Type="http://schemas.openxmlformats.org/officeDocument/2006/relationships/image" Target="media/image20.jp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image" Target="media/image25.png"/><Relationship Id="rId38" Type="http://schemas.openxmlformats.org/officeDocument/2006/relationships/image" Target="media/image26.png"/><Relationship Id="rId39" Type="http://schemas.openxmlformats.org/officeDocument/2006/relationships/image" Target="media/image27.png"/><Relationship Id="rId40" Type="http://schemas.openxmlformats.org/officeDocument/2006/relationships/image" Target="media/image28.png"/><Relationship Id="rId41" Type="http://schemas.openxmlformats.org/officeDocument/2006/relationships/image" Target="media/image29.png"/><Relationship Id="rId42" Type="http://schemas.openxmlformats.org/officeDocument/2006/relationships/image" Target="media/image30.png"/><Relationship Id="rId43" Type="http://schemas.openxmlformats.org/officeDocument/2006/relationships/hyperlink" Target="https://upmetrics.co/ai-tools/swot-analysis-generator" TargetMode="External"/><Relationship Id="rId44" Type="http://schemas.openxmlformats.org/officeDocument/2006/relationships/image" Target="media/image31.jpg"/><Relationship Id="rId45" Type="http://schemas.openxmlformats.org/officeDocument/2006/relationships/image" Target="media/image32.jpg"/><Relationship Id="rId46" Type="http://schemas.openxmlformats.org/officeDocument/2006/relationships/image" Target="media/image33.jpg"/><Relationship Id="rId47" Type="http://schemas.openxmlformats.org/officeDocument/2006/relationships/image" Target="media/image34.png"/><Relationship Id="rId48" Type="http://schemas.openxmlformats.org/officeDocument/2006/relationships/image" Target="media/image35.png"/><Relationship Id="rId49" Type="http://schemas.openxmlformats.org/officeDocument/2006/relationships/image" Target="media/image36.png"/><Relationship Id="rId50" Type="http://schemas.openxmlformats.org/officeDocument/2006/relationships/image" Target="media/image37.png"/><Relationship Id="rId51" Type="http://schemas.openxmlformats.org/officeDocument/2006/relationships/image" Target="media/image38.jpg"/><Relationship Id="rId52" Type="http://schemas.openxmlformats.org/officeDocument/2006/relationships/image" Target="media/image39.png"/><Relationship Id="rId53" Type="http://schemas.openxmlformats.org/officeDocument/2006/relationships/image" Target="media/image40.png"/><Relationship Id="rId54" Type="http://schemas.openxmlformats.org/officeDocument/2006/relationships/hyperlink" Target="https://upmetrics.co/features/ai-business-plan-writing-assistant" TargetMode="External"/><Relationship Id="rId55" Type="http://schemas.openxmlformats.org/officeDocument/2006/relationships/image" Target="media/image41.png"/><Relationship Id="rId56" Type="http://schemas.openxmlformats.org/officeDocument/2006/relationships/image" Target="media/image42.png"/><Relationship Id="rId57" Type="http://schemas.openxmlformats.org/officeDocument/2006/relationships/hyperlink" Target="mailto:marcus@keelridgepropertymanagement.example" TargetMode="External"/><Relationship Id="rId58" Type="http://schemas.openxmlformats.org/officeDocument/2006/relationships/image" Target="media/image43.png"/><Relationship Id="rId59" Type="http://schemas.openxmlformats.org/officeDocument/2006/relationships/hyperlink" Target="mailto:renee@keelridgepropertymanagement.example" TargetMode="External"/><Relationship Id="rId60" Type="http://schemas.openxmlformats.org/officeDocument/2006/relationships/image" Target="media/image44.jpg"/><Relationship Id="rId61" Type="http://schemas.openxmlformats.org/officeDocument/2006/relationships/hyperlink" Target="mailto:jordan@keelridgepropertymanagement.example" TargetMode="External"/><Relationship Id="rId62" Type="http://schemas.openxmlformats.org/officeDocument/2006/relationships/image" Target="media/image45.png"/><Relationship Id="rId63" Type="http://schemas.openxmlformats.org/officeDocument/2006/relationships/image" Target="media/image46.png"/><Relationship Id="rId64" Type="http://schemas.openxmlformats.org/officeDocument/2006/relationships/hyperlink" Target="https://upmetrics.co/features/business-plan-collaboration" TargetMode="External"/><Relationship Id="rId65" Type="http://schemas.openxmlformats.org/officeDocument/2006/relationships/image" Target="media/image47.png"/><Relationship Id="rId66" Type="http://schemas.openxmlformats.org/officeDocument/2006/relationships/image" Target="media/image48.png"/><Relationship Id="rId67" Type="http://schemas.openxmlformats.org/officeDocument/2006/relationships/hyperlink" Target="https://upmetrics.co/features/financial-forecasting" TargetMode="External"/><Relationship Id="rId68" Type="http://schemas.openxmlformats.org/officeDocument/2006/relationships/hyperlink" Target="https://www.ibisworld.com/united-states/industry/property-management/1356/" TargetMode="External"/><Relationship Id="rId69" Type="http://schemas.openxmlformats.org/officeDocument/2006/relationships/hyperlink" Target="https://ipropertymanagement.com/research/average-property-management-fees" TargetMode="External"/><Relationship Id="rId70" Type="http://schemas.openxmlformats.org/officeDocument/2006/relationships/hyperlink" Target="https://www.census.gov/data-tools/demo/rhfs/" TargetMode="External"/><Relationship Id="rId71" Type="http://schemas.openxmlformats.org/officeDocument/2006/relationships/hyperlink" Target="https://www.census.gov/newsroom/press-releases/2026/2024-rhfs-data.html" TargetMode="External"/><Relationship Id="rId72" Type="http://schemas.openxmlformats.org/officeDocument/2006/relationships/hyperlink" Target="https://gao.gov/products/gao-24-106643" TargetMode="External"/><Relationship Id="rId73" Type="http://schemas.openxmlformats.org/officeDocument/2006/relationships/hyperlink" Target="https://www.gao.gov/products/gao-26-108675" TargetMode="External"/><Relationship Id="rId74" Type="http://schemas.openxmlformats.org/officeDocument/2006/relationships/hyperlink" Target="https://www.census.gov/housing/hvs/files/qtr226/Q226press.pdf" TargetMode="External"/><Relationship Id="rId75" Type="http://schemas.openxmlformats.org/officeDocument/2006/relationships/hyperlink" Target="https://s25.q4cdn.com/975009107/files/doc_news/Rents-near-2000-rising-at-the-fastest-pace-in-over-a-year-2026.pdf" TargetMode="External"/><Relationship Id="rId76" Type="http://schemas.openxmlformats.org/officeDocument/2006/relationships/hyperlink" Target="https://www.cotality.com/press-releases/annual-single-family-rent-growth-returns-to-seasonal-norms" TargetMode="External"/><Relationship Id="rId77" Type="http://schemas.openxmlformats.org/officeDocument/2006/relationships/hyperlink" Target="https://www.gsd.harvard.edu/2026/06/state-of-the-nations-housing-2026-finds-affordability-challenges/" TargetMode="External"/><Relationship Id="rId78" Type="http://schemas.openxmlformats.org/officeDocument/2006/relationships/hyperlink" Target="https://www.law.cornell.edu/uscode/text/42/3604" TargetMode="External"/><Relationship Id="rId79" Type="http://schemas.openxmlformats.org/officeDocument/2006/relationships/hyperlink" Target="https://leadingage.org/hud-withdraws-wide-ranging-fair-housing-policies/" TargetMode="External"/><Relationship Id="rId80" Type="http://schemas.openxmlformats.org/officeDocument/2006/relationships/hyperlink" Target="https://www.ftc.gov/business-guidance/resources/using-consumer-reports-what-landlords-need-know" TargetMode="External"/><Relationship Id="rId81" Type="http://schemas.openxmlformats.org/officeDocument/2006/relationships/hyperlink" Target="https://www.consumerfinance.gov/about-us/newsroom/cfpb-reports-highlight-problems-with-tenant-background-checks/" TargetMode="External"/><Relationship Id="rId82" Type="http://schemas.openxmlformats.org/officeDocument/2006/relationships/hyperlink" Target="https://www.buildium.com/resource/2026-property-management-industry-report/" TargetMode="External"/><Relationship Id="rId83" Type="http://schemas.openxmlformats.org/officeDocument/2006/relationships/hyperlink" Target="https://www.bls.gov/ooh/management/property-real-estate-and-community-association-managers.htm" TargetMode="External"/><Relationship Id="rId84" Type="http://schemas.openxmlformats.org/officeDocument/2006/relationships/hyperlink" Target="https://www.narpm.org/join/narpm-membership/" TargetMode="External"/><Relationship Id="rId85" Type="http://schemas.openxmlformats.org/officeDocument/2006/relationships/hyperlink" Target="https://www.narpm.org/indexed/doc1-financial-controls-guide-pdf/" TargetMode="External"/><Relationship Id="rId86" Type="http://schemas.openxmlformats.org/officeDocument/2006/relationships/hyperlink" Target="https://www.sec.gov/Archives/edgar/data/0001433195/000143319526000056/appfq22026exhibit991.htm" TargetMode="External"/><Relationship Id="rId87" Type="http://schemas.openxmlformats.org/officeDocument/2006/relationships/hyperlink" Target="https://www.buildium.com/pricing/" TargetMode="External"/><Relationship Id="rId88" Type="http://schemas.openxmlformats.org/officeDocument/2006/relationships/hyperlink" Target="https://www.justice.gov/atr/case/us-and-plaintiff-states-v-realpage-inc" TargetMode="External"/><Relationship Id="rId89" Type="http://schemas.openxmlformats.org/officeDocument/2006/relationships/hyperlink" Target="https://cleanfax.com/all-19-neighborlybrands-earn-spots-on-entrepreneurs-2026-franchise-500-for-second-consecutive-year/" TargetMode="External"/><Relationship Id="rId90" Type="http://schemas.openxmlformats.org/officeDocument/2006/relationships/hyperlink" Target="https://www.propertymanagementinc.com/pmi-news/pmi-ranked-in-the-entrepreneur-franchise-500-for-12th-consecutive-year" TargetMode="External"/><Relationship Id="rId91" Type="http://schemas.openxmlformats.org/officeDocument/2006/relationships/hyperlink" Target="https://www.everycrsreport.com/reports/R47332.html" TargetMode="External"/><Relationship Id="rId92" Type="http://schemas.openxmlformats.org/officeDocument/2006/relationships/hyperlink" Target="https://www.brookings.edu/articles/an-eviction-moratorium-without-rental-assistance-hurts-smaller-landlords-too" TargetMode="External"/><Relationship Id="rId93" Type="http://schemas.openxmlformats.org/officeDocument/2006/relationships/hyperlink" Target="https://censusreporter.org/profiles/31000US27260-jacksonville-fl-metro-area/" TargetMode="External"/><Relationship Id="rId94" Type="http://schemas.openxmlformats.org/officeDocument/2006/relationships/hyperlink" Target="https://data.bls.gov/cew/data/api/2025/a/industry/531311.csv" TargetMode="External"/><Relationship Id="rId95" Type="http://schemas.openxmlformats.org/officeDocument/2006/relationships/hyperlink" Target="https://data.bls.gov/cew/data/api/2024/a/industry/531311.csv" TargetMode="External"/><Relationship Id="rId96" Type="http://schemas.openxmlformats.org/officeDocument/2006/relationships/hyperlink" Target="https://data.bls.gov/cew/data/api/2025/a/industry/53131.csv" TargetMode="External"/><Relationship Id="rId97" Type="http://schemas.openxmlformats.org/officeDocument/2006/relationships/hyperlink" Target="https://www.census.gov/housing/hvs/data/rates.html" TargetMode="External"/><Relationship Id="rId98" Type="http://schemas.openxmlformats.org/officeDocument/2006/relationships/hyperlink" Target="https://www.jacksonville.gov/departments/office-of-economic-development/about-jacksonville/military-presence" TargetMode="External"/><Relationship Id="rId99" Type="http://schemas.openxmlformats.org/officeDocument/2006/relationships/hyperlink" Target="https://www.cbre.com/insights/figures/jacksonville-office-figures-q3-2026" TargetMode="External"/><Relationship Id="rId100" Type="http://schemas.openxmlformats.org/officeDocument/2006/relationships/hyperlink" Target="https://www.hrmorning.com/news/florida-minimum-wage/" TargetMode="External"/><Relationship Id="rId101" Type="http://schemas.openxmlformats.org/officeDocument/2006/relationships/hyperlink" Target="http://www.leg.state.fl.us/statutes/index.cfm?App_mode=Display_Statute&amp;URL=0400-0499/0475/Sections/0475.01.html" TargetMode="External"/><Relationship Id="rId102" Type="http://schemas.openxmlformats.org/officeDocument/2006/relationships/hyperlink" Target="http://www.leg.state.fl.us/statutes/index.cfm?App_mode=Display_Statute&amp;URL=0000-0099/0083/Sections/0083.49.html" TargetMode="External"/><Relationship Id="rId103" Type="http://schemas.openxmlformats.org/officeDocument/2006/relationships/hyperlink" Target="https://legiscan.com/FL/bill/H1417/2023" TargetMode="External"/><Relationship Id="rId104" Type="http://schemas.openxmlformats.org/officeDocument/2006/relationships/image" Target="media/image49.jpg"/><Relationship Id="rId105" Type="http://schemas.openxmlformats.org/officeDocument/2006/relationships/image" Target="media/image50.png"/><Relationship Id="rId106" Type="http://schemas.openxmlformats.org/officeDocument/2006/relationships/hyperlink" Target="https://upmetrics.co/features/ai-plan-generator" TargetMode="External"/><Relationship Id="rId107" Type="http://schemas.openxmlformats.org/officeDocument/2006/relationships/image" Target="media/image51.png"/><Relationship Id="rId108" Type="http://schemas.openxmlformats.org/officeDocument/2006/relationships/image" Target="media/image52.png"/><Relationship Id="rId109"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Management Business Plan 2026</dc:title>
  <dc:subject>A free Property Management business plan template and sample business plan in Word for Keelridge Property Management in Jacksonville, Florida, United States, including financial projections. Built with Upmetrics.</dc:subject>
  <dc:creator>Upmetrics</dc:creator>
  <cp:keywords>Property Management business plan, Property Management business plan example, Property Management business plan Word template, editable Property Management business plan, Property Management business plan template, Property Management business plan sample, free Property Management business plan template, Upmetrics</cp:keywords>
  <dc:description>Editable Word version of a sample Property Management business plan for Keelridge Property Management in Jacksonville, Florida, United States, with 3-year financial projections. Built with Upmetrics.</dc:description>
  <cp:lastModifiedBy>Upmetrics</cp:lastModifiedBy>
  <cp:revision>1</cp:revision>
  <dcterms:created xsi:type="dcterms:W3CDTF">2026-10-14T11:37:59Z</dcterms:created>
  <dcterms:modified xsi:type="dcterms:W3CDTF">2026-10-14T11:37:59Z</dcterms:modified>
  <cp:category>Business plan</cp:category>
</cp:coreProperties>
</file>